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1A" w:rsidRPr="000318AF" w:rsidRDefault="004A401A" w:rsidP="000318AF">
      <w:pPr>
        <w:spacing w:line="360" w:lineRule="auto"/>
        <w:rPr>
          <w:rFonts w:ascii="Unistra A" w:hAnsi="Unistra A" w:cs="Times New Roman"/>
          <w:sz w:val="2"/>
          <w:szCs w:val="24"/>
        </w:rPr>
      </w:pPr>
    </w:p>
    <w:p w:rsidR="004A401A" w:rsidRPr="000318AF" w:rsidRDefault="004A401A" w:rsidP="000318AF">
      <w:pPr>
        <w:spacing w:line="360" w:lineRule="auto"/>
        <w:rPr>
          <w:rFonts w:ascii="Unistra A" w:hAnsi="Unistra A" w:cs="Times New Roman"/>
          <w:sz w:val="24"/>
          <w:szCs w:val="24"/>
        </w:rPr>
      </w:pPr>
    </w:p>
    <w:p w:rsidR="000318AF" w:rsidRPr="000318AF" w:rsidRDefault="000318AF" w:rsidP="000318AF">
      <w:pPr>
        <w:pBdr>
          <w:top w:val="single" w:sz="4" w:space="1" w:color="auto"/>
          <w:left w:val="single" w:sz="4" w:space="4" w:color="auto"/>
          <w:bottom w:val="single" w:sz="4" w:space="1" w:color="auto"/>
          <w:right w:val="single" w:sz="4" w:space="4" w:color="auto"/>
        </w:pBdr>
        <w:spacing w:line="360" w:lineRule="auto"/>
        <w:jc w:val="center"/>
        <w:rPr>
          <w:rFonts w:ascii="Unistra A" w:hAnsi="Unistra A" w:cs="Times New Roman"/>
          <w:sz w:val="8"/>
          <w:szCs w:val="8"/>
        </w:rPr>
      </w:pPr>
    </w:p>
    <w:p w:rsidR="000318AF" w:rsidRDefault="000318AF" w:rsidP="000318AF">
      <w:pPr>
        <w:pBdr>
          <w:top w:val="single" w:sz="4" w:space="1" w:color="auto"/>
          <w:left w:val="single" w:sz="4" w:space="4" w:color="auto"/>
          <w:bottom w:val="single" w:sz="4" w:space="1" w:color="auto"/>
          <w:right w:val="single" w:sz="4" w:space="4" w:color="auto"/>
        </w:pBdr>
        <w:spacing w:line="360" w:lineRule="auto"/>
        <w:jc w:val="center"/>
        <w:rPr>
          <w:rFonts w:ascii="Unistra A" w:hAnsi="Unistra A" w:cs="Times New Roman"/>
          <w:sz w:val="28"/>
          <w:szCs w:val="28"/>
        </w:rPr>
      </w:pPr>
      <w:r w:rsidRPr="000318AF">
        <w:rPr>
          <w:rFonts w:ascii="Unistra A" w:hAnsi="Unistra A" w:cs="Times New Roman"/>
          <w:sz w:val="28"/>
          <w:szCs w:val="28"/>
        </w:rPr>
        <w:t xml:space="preserve">ETUDE RELATIVE </w:t>
      </w:r>
      <w:r>
        <w:rPr>
          <w:rFonts w:ascii="Unistra A" w:hAnsi="Unistra A" w:cs="Times New Roman"/>
          <w:sz w:val="28"/>
          <w:szCs w:val="28"/>
        </w:rPr>
        <w:t xml:space="preserve">AU RAPPORT </w:t>
      </w:r>
      <w:r w:rsidR="00244A1E">
        <w:rPr>
          <w:rFonts w:ascii="Unistra A" w:hAnsi="Unistra A" w:cs="Times New Roman"/>
          <w:sz w:val="28"/>
          <w:szCs w:val="28"/>
        </w:rPr>
        <w:t xml:space="preserve">CONJOINT DES PARTENAIRES SOCIAUX </w:t>
      </w:r>
      <w:r>
        <w:rPr>
          <w:rFonts w:ascii="Unistra A" w:hAnsi="Unistra A" w:cs="Times New Roman"/>
          <w:sz w:val="28"/>
          <w:szCs w:val="28"/>
        </w:rPr>
        <w:t xml:space="preserve">DU 7 JUIN 2017 </w:t>
      </w:r>
      <w:r w:rsidR="00244A1E">
        <w:rPr>
          <w:rFonts w:ascii="Unistra A" w:hAnsi="Unistra A" w:cs="Times New Roman"/>
          <w:sz w:val="28"/>
          <w:szCs w:val="28"/>
        </w:rPr>
        <w:t>« </w:t>
      </w:r>
      <w:r w:rsidR="003C6452">
        <w:rPr>
          <w:rFonts w:ascii="Unistra A" w:hAnsi="Unistra A" w:cs="Times New Roman"/>
          <w:sz w:val="28"/>
          <w:szCs w:val="28"/>
        </w:rPr>
        <w:t>CONCLUSIONS DE LA CONCERTATION S</w:t>
      </w:r>
      <w:r w:rsidR="00244A1E">
        <w:rPr>
          <w:rFonts w:ascii="Unistra A" w:hAnsi="Unistra A" w:cs="Times New Roman"/>
          <w:sz w:val="28"/>
          <w:szCs w:val="28"/>
        </w:rPr>
        <w:t>UR LE DEVELOPPEMENT DU TELETRAVAIL ET DU TRAVAIL A DISTANCE »</w:t>
      </w:r>
    </w:p>
    <w:p w:rsidR="00F42C34" w:rsidRDefault="00F42C34" w:rsidP="000318AF">
      <w:pPr>
        <w:pBdr>
          <w:top w:val="single" w:sz="4" w:space="1" w:color="auto"/>
          <w:left w:val="single" w:sz="4" w:space="4" w:color="auto"/>
          <w:bottom w:val="single" w:sz="4" w:space="1" w:color="auto"/>
          <w:right w:val="single" w:sz="4" w:space="4" w:color="auto"/>
        </w:pBdr>
        <w:spacing w:line="360" w:lineRule="auto"/>
        <w:jc w:val="center"/>
        <w:rPr>
          <w:rFonts w:ascii="Unistra A" w:hAnsi="Unistra A" w:cs="Times New Roman"/>
          <w:sz w:val="8"/>
          <w:szCs w:val="8"/>
        </w:rPr>
      </w:pPr>
    </w:p>
    <w:p w:rsidR="00F42C34" w:rsidRDefault="00F42C34" w:rsidP="00F42C34">
      <w:pPr>
        <w:rPr>
          <w:rFonts w:ascii="Unistra A" w:hAnsi="Unistra A" w:cs="Times New Roman"/>
          <w:sz w:val="8"/>
          <w:szCs w:val="8"/>
        </w:rPr>
      </w:pPr>
    </w:p>
    <w:p w:rsidR="00367ADA" w:rsidRDefault="00367ADA" w:rsidP="00367ADA">
      <w:pPr>
        <w:spacing w:line="360" w:lineRule="auto"/>
        <w:jc w:val="both"/>
        <w:rPr>
          <w:rFonts w:ascii="Unistra A" w:hAnsi="Unistra A" w:cs="Times New Roman"/>
          <w:sz w:val="24"/>
          <w:szCs w:val="24"/>
        </w:rPr>
      </w:pPr>
      <w:r w:rsidRPr="00367ADA">
        <w:rPr>
          <w:rFonts w:ascii="Unistra A" w:hAnsi="Unistra A" w:cs="Times New Roman"/>
          <w:sz w:val="24"/>
          <w:szCs w:val="24"/>
        </w:rPr>
        <w:t>La loi</w:t>
      </w:r>
      <w:r>
        <w:rPr>
          <w:rFonts w:ascii="Unistra A" w:hAnsi="Unistra A" w:cs="Times New Roman"/>
          <w:sz w:val="24"/>
          <w:szCs w:val="24"/>
        </w:rPr>
        <w:t xml:space="preserve"> </w:t>
      </w:r>
      <w:hyperlink r:id="rId9" w:history="1">
        <w:r w:rsidRPr="00367ADA">
          <w:rPr>
            <w:rStyle w:val="lev"/>
            <w:rFonts w:ascii="Unistra A" w:hAnsi="Unistra A"/>
            <w:b w:val="0"/>
          </w:rPr>
          <w:t>n° 2016-1088 du 8 août 2016 relative au travail, à la modernisation du dialogue social et à la sécurisation des parcours professionnels</w:t>
        </w:r>
      </w:hyperlink>
      <w:r w:rsidRPr="00367ADA">
        <w:rPr>
          <w:rFonts w:ascii="Unistra A" w:hAnsi="Unistra A" w:cs="Times New Roman"/>
          <w:sz w:val="24"/>
          <w:szCs w:val="24"/>
        </w:rPr>
        <w:t xml:space="preserve"> dite </w:t>
      </w:r>
      <w:r>
        <w:rPr>
          <w:rFonts w:ascii="Unistra A" w:hAnsi="Unistra A" w:cs="Times New Roman"/>
          <w:sz w:val="24"/>
          <w:szCs w:val="24"/>
        </w:rPr>
        <w:t>« L</w:t>
      </w:r>
      <w:r w:rsidRPr="00367ADA">
        <w:rPr>
          <w:rFonts w:ascii="Unistra A" w:hAnsi="Unistra A" w:cs="Times New Roman"/>
          <w:sz w:val="24"/>
          <w:szCs w:val="24"/>
        </w:rPr>
        <w:t>oi travail » a envisagé la problématique du télétravail sous l’angle de la concertation des partenaires sociaux.</w:t>
      </w:r>
      <w:r>
        <w:rPr>
          <w:rFonts w:ascii="Unistra A" w:hAnsi="Unistra A" w:cs="Times New Roman"/>
          <w:sz w:val="24"/>
          <w:szCs w:val="24"/>
        </w:rPr>
        <w:t xml:space="preserve"> </w:t>
      </w:r>
    </w:p>
    <w:p w:rsidR="00367ADA" w:rsidRDefault="00367ADA" w:rsidP="00367ADA">
      <w:pPr>
        <w:spacing w:line="360" w:lineRule="auto"/>
        <w:jc w:val="both"/>
        <w:rPr>
          <w:rFonts w:ascii="Unistra A" w:hAnsi="Unistra A"/>
          <w:sz w:val="24"/>
          <w:szCs w:val="24"/>
        </w:rPr>
      </w:pPr>
      <w:r w:rsidRPr="00367ADA">
        <w:rPr>
          <w:rFonts w:ascii="Unistra A" w:hAnsi="Unistra A" w:cs="Times New Roman"/>
          <w:sz w:val="24"/>
          <w:szCs w:val="24"/>
        </w:rPr>
        <w:t>En effet, l’article 57 de ladite loi énonce « </w:t>
      </w:r>
      <w:r w:rsidRPr="00367ADA">
        <w:rPr>
          <w:rFonts w:ascii="Unistra A" w:hAnsi="Unistra A"/>
          <w:sz w:val="24"/>
          <w:szCs w:val="24"/>
        </w:rPr>
        <w:t>I. - Une concertation sur le développement du télétravail et du travail à distance est engagée, avant le 1er octobre 2016, avec les organisations professionnelles d'employeurs et les organisations syndicales de salariés représentatives au niveau national et interprofessionnel, qui, si elles le souhaitent, ouvrent une négociation à ce sujet</w:t>
      </w:r>
      <w:r w:rsidRPr="00367ADA">
        <w:rPr>
          <w:rStyle w:val="Appelnotedebasdep"/>
          <w:rFonts w:ascii="Unistra A" w:hAnsi="Unistra A"/>
          <w:sz w:val="24"/>
          <w:szCs w:val="24"/>
        </w:rPr>
        <w:footnoteReference w:id="1"/>
      </w:r>
      <w:r w:rsidRPr="00367ADA">
        <w:rPr>
          <w:rFonts w:ascii="Unistra A" w:hAnsi="Unistra A"/>
          <w:sz w:val="24"/>
          <w:szCs w:val="24"/>
        </w:rPr>
        <w:t> ».</w:t>
      </w:r>
      <w:r w:rsidR="00D32C56">
        <w:rPr>
          <w:rFonts w:ascii="Unistra A" w:hAnsi="Unistra A"/>
          <w:sz w:val="24"/>
          <w:szCs w:val="24"/>
        </w:rPr>
        <w:t xml:space="preserve"> </w:t>
      </w:r>
      <w:r w:rsidRPr="00367ADA">
        <w:rPr>
          <w:rFonts w:ascii="Unistra A" w:hAnsi="Unistra A"/>
          <w:sz w:val="24"/>
          <w:szCs w:val="24"/>
        </w:rPr>
        <w:br/>
      </w:r>
      <w:r w:rsidR="00D32C56">
        <w:rPr>
          <w:rFonts w:ascii="Unistra A" w:hAnsi="Unistra A"/>
          <w:sz w:val="24"/>
          <w:szCs w:val="24"/>
        </w:rPr>
        <w:t>C’est dans ce cadre que les représentants des organisations patronales MEDEF, CGPME et U2P d’une part, et les représentants des organisations syndicales CFDT, CFE-CGC, CFTC, CGT-FO et CGT</w:t>
      </w:r>
      <w:r w:rsidR="002C4EA2">
        <w:rPr>
          <w:rFonts w:ascii="Unistra A" w:hAnsi="Unistra A"/>
          <w:sz w:val="24"/>
          <w:szCs w:val="24"/>
        </w:rPr>
        <w:t xml:space="preserve"> se sont concertés et ont remis leur rapport le 7 juin 2017.</w:t>
      </w:r>
    </w:p>
    <w:p w:rsidR="00D175DD" w:rsidRDefault="002C4EA2" w:rsidP="00751B53">
      <w:pPr>
        <w:spacing w:line="360" w:lineRule="auto"/>
        <w:jc w:val="both"/>
        <w:rPr>
          <w:rFonts w:ascii="Unistra A" w:hAnsi="Unistra A"/>
          <w:sz w:val="24"/>
          <w:szCs w:val="24"/>
        </w:rPr>
      </w:pPr>
      <w:r>
        <w:rPr>
          <w:rFonts w:ascii="Unistra A" w:hAnsi="Unistra A"/>
          <w:sz w:val="24"/>
          <w:szCs w:val="24"/>
        </w:rPr>
        <w:t>Outre le rappel de la législation relative au télétravail</w:t>
      </w:r>
      <w:r>
        <w:rPr>
          <w:rStyle w:val="Appelnotedebasdep"/>
          <w:rFonts w:ascii="Unistra A" w:hAnsi="Unistra A"/>
          <w:sz w:val="24"/>
          <w:szCs w:val="24"/>
        </w:rPr>
        <w:footnoteReference w:id="2"/>
      </w:r>
      <w:r w:rsidR="006D545E">
        <w:rPr>
          <w:rFonts w:ascii="Unistra A" w:hAnsi="Unistra A"/>
          <w:sz w:val="24"/>
          <w:szCs w:val="24"/>
        </w:rPr>
        <w:t xml:space="preserve">, le rapport de concertation </w:t>
      </w:r>
      <w:r w:rsidR="00D175DD">
        <w:rPr>
          <w:rFonts w:ascii="Unistra A" w:hAnsi="Unistra A"/>
          <w:sz w:val="24"/>
          <w:szCs w:val="24"/>
        </w:rPr>
        <w:t xml:space="preserve">explique que le télétravail n’est pas forcément synonyme de travail à domicile puisque son régime s’appliquera également lorsque le salarié exerce sa prestation de travail en </w:t>
      </w:r>
      <w:proofErr w:type="spellStart"/>
      <w:r w:rsidR="00D175DD" w:rsidRPr="00D175DD">
        <w:rPr>
          <w:rFonts w:ascii="Unistra A" w:hAnsi="Unistra A"/>
          <w:i/>
          <w:sz w:val="24"/>
          <w:szCs w:val="24"/>
        </w:rPr>
        <w:t>coworking</w:t>
      </w:r>
      <w:proofErr w:type="spellEnd"/>
      <w:r w:rsidR="00D175DD" w:rsidRPr="00D175DD">
        <w:rPr>
          <w:rFonts w:ascii="Unistra A" w:hAnsi="Unistra A"/>
          <w:i/>
          <w:sz w:val="24"/>
          <w:szCs w:val="24"/>
        </w:rPr>
        <w:t xml:space="preserve"> </w:t>
      </w:r>
      <w:r w:rsidR="00D175DD">
        <w:rPr>
          <w:rFonts w:ascii="Unistra A" w:hAnsi="Unistra A"/>
          <w:sz w:val="24"/>
          <w:szCs w:val="24"/>
        </w:rPr>
        <w:t xml:space="preserve">(espace de travail partagé) ou dans un bureau satellite. </w:t>
      </w:r>
      <w:r w:rsidR="001971F8">
        <w:rPr>
          <w:rFonts w:ascii="Unistra A" w:hAnsi="Unistra A"/>
          <w:sz w:val="24"/>
          <w:szCs w:val="24"/>
        </w:rPr>
        <w:t>A ce titre le rapport énumère les différentes formes de télétravail (formel ou informel ; régulier ou occasionnel) et met en exergue les avantages et risques liés au télétravail non seulement pour les salariés mais aussi pour les entreprises, dans le tableau suivant :</w:t>
      </w:r>
    </w:p>
    <w:p w:rsidR="00D175DD" w:rsidRDefault="00D175DD" w:rsidP="00751B53">
      <w:pPr>
        <w:spacing w:line="360" w:lineRule="auto"/>
        <w:jc w:val="both"/>
        <w:rPr>
          <w:rFonts w:ascii="Unistra A" w:hAnsi="Unistra A"/>
          <w:sz w:val="24"/>
          <w:szCs w:val="24"/>
        </w:rPr>
      </w:pPr>
    </w:p>
    <w:p w:rsidR="00207D88" w:rsidRDefault="00207D88" w:rsidP="00367ADA">
      <w:pPr>
        <w:spacing w:line="360" w:lineRule="auto"/>
        <w:jc w:val="both"/>
        <w:rPr>
          <w:rFonts w:ascii="Unistra A" w:hAnsi="Unistra A"/>
          <w:sz w:val="24"/>
          <w:szCs w:val="24"/>
        </w:rPr>
      </w:pPr>
    </w:p>
    <w:tbl>
      <w:tblPr>
        <w:tblStyle w:val="Grilledutableau"/>
        <w:tblW w:w="0" w:type="auto"/>
        <w:tblLook w:val="04A0" w:firstRow="1" w:lastRow="0" w:firstColumn="1" w:lastColumn="0" w:noHBand="0" w:noVBand="1"/>
      </w:tblPr>
      <w:tblGrid>
        <w:gridCol w:w="3637"/>
        <w:gridCol w:w="3638"/>
        <w:gridCol w:w="3638"/>
      </w:tblGrid>
      <w:tr w:rsidR="00244A1E" w:rsidRPr="00207D88" w:rsidTr="00207D88">
        <w:tc>
          <w:tcPr>
            <w:tcW w:w="3637" w:type="dxa"/>
          </w:tcPr>
          <w:p w:rsidR="00207D88" w:rsidRPr="00207D88" w:rsidRDefault="00207D88" w:rsidP="00367ADA">
            <w:pPr>
              <w:spacing w:line="360" w:lineRule="auto"/>
              <w:jc w:val="both"/>
              <w:rPr>
                <w:rFonts w:ascii="Unistra A" w:hAnsi="Unistra A"/>
                <w:sz w:val="24"/>
                <w:szCs w:val="24"/>
              </w:rPr>
            </w:pPr>
          </w:p>
        </w:tc>
        <w:tc>
          <w:tcPr>
            <w:tcW w:w="3638" w:type="dxa"/>
          </w:tcPr>
          <w:p w:rsidR="00207D88" w:rsidRPr="00207D88" w:rsidRDefault="00207D88" w:rsidP="00367ADA">
            <w:pPr>
              <w:spacing w:line="360" w:lineRule="auto"/>
              <w:jc w:val="both"/>
              <w:rPr>
                <w:rFonts w:ascii="Unistra A" w:hAnsi="Unistra A"/>
                <w:sz w:val="24"/>
                <w:szCs w:val="24"/>
              </w:rPr>
            </w:pPr>
            <w:proofErr w:type="gramStart"/>
            <w:r w:rsidRPr="00207D88">
              <w:rPr>
                <w:rFonts w:ascii="Unistra A" w:hAnsi="Unistra A"/>
                <w:sz w:val="24"/>
                <w:szCs w:val="24"/>
              </w:rPr>
              <w:t>SALARIES</w:t>
            </w:r>
            <w:proofErr w:type="gramEnd"/>
          </w:p>
        </w:tc>
        <w:tc>
          <w:tcPr>
            <w:tcW w:w="3638" w:type="dxa"/>
          </w:tcPr>
          <w:p w:rsidR="00207D88" w:rsidRPr="00207D88" w:rsidRDefault="00207D88" w:rsidP="00367ADA">
            <w:pPr>
              <w:spacing w:line="360" w:lineRule="auto"/>
              <w:jc w:val="both"/>
              <w:rPr>
                <w:rFonts w:ascii="Unistra A" w:hAnsi="Unistra A"/>
                <w:sz w:val="24"/>
                <w:szCs w:val="24"/>
              </w:rPr>
            </w:pPr>
            <w:r w:rsidRPr="00207D88">
              <w:rPr>
                <w:rFonts w:ascii="Unistra A" w:hAnsi="Unistra A"/>
                <w:sz w:val="24"/>
                <w:szCs w:val="24"/>
              </w:rPr>
              <w:t>ENTREPRISES</w:t>
            </w:r>
          </w:p>
        </w:tc>
      </w:tr>
      <w:tr w:rsidR="00244A1E" w:rsidRPr="00207D88" w:rsidTr="00207D88">
        <w:tc>
          <w:tcPr>
            <w:tcW w:w="3637" w:type="dxa"/>
          </w:tcPr>
          <w:p w:rsidR="00207D88" w:rsidRPr="00207D88" w:rsidRDefault="00207D88" w:rsidP="00367ADA">
            <w:pPr>
              <w:spacing w:line="360" w:lineRule="auto"/>
              <w:jc w:val="both"/>
              <w:rPr>
                <w:rFonts w:ascii="Unistra A" w:hAnsi="Unistra A"/>
                <w:sz w:val="24"/>
                <w:szCs w:val="24"/>
              </w:rPr>
            </w:pPr>
            <w:r w:rsidRPr="00207D88">
              <w:rPr>
                <w:rFonts w:ascii="Unistra A" w:hAnsi="Unistra A"/>
                <w:sz w:val="24"/>
                <w:szCs w:val="24"/>
              </w:rPr>
              <w:t>BENEFICES</w:t>
            </w:r>
          </w:p>
        </w:tc>
        <w:tc>
          <w:tcPr>
            <w:tcW w:w="3638" w:type="dxa"/>
          </w:tcPr>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Amélioration de la qualité de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vie au travail, économie du</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temps de trajet et limitation de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la fatigue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Temps de travail plus efficace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Meilleure conciliation entre vie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privée et vie professionnelle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Autonomie et souplesse dans</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l’organisation du travail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Perception d’une meilleure</w:t>
            </w:r>
          </w:p>
          <w:p w:rsidR="00207D88" w:rsidRPr="00207D88" w:rsidRDefault="00207D88" w:rsidP="00207D88">
            <w:pPr>
              <w:spacing w:line="360" w:lineRule="auto"/>
              <w:jc w:val="both"/>
              <w:rPr>
                <w:rFonts w:ascii="Unistra A" w:hAnsi="Unistra A"/>
                <w:sz w:val="24"/>
                <w:szCs w:val="24"/>
              </w:rPr>
            </w:pPr>
            <w:r w:rsidRPr="00207D88">
              <w:rPr>
                <w:rFonts w:ascii="Unistra A" w:hAnsi="Unistra A" w:cs="CenturyGothic"/>
                <w:sz w:val="24"/>
                <w:szCs w:val="24"/>
              </w:rPr>
              <w:t>qualité de travail réalisé.</w:t>
            </w:r>
          </w:p>
        </w:tc>
        <w:tc>
          <w:tcPr>
            <w:tcW w:w="3638" w:type="dxa"/>
          </w:tcPr>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Augmentation de la productivité et</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de la performance individuelle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(réduction de l’absentéisme,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diminution des retards et de la</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fatigue liée au transport en</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commun)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Mise en place des nouveaux outils</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collaboratifs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Souplesse en cas d’évènements</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ponctuels et extérieurs à l’entreprise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(pic de pollution, attentats,</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intempéries, épidémie,)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Attractivité et maintien des talents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notamment pour les TPE et les PME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par exemple en cas de</w:t>
            </w:r>
          </w:p>
          <w:p w:rsidR="00207D88" w:rsidRPr="00207D88" w:rsidRDefault="00207D88" w:rsidP="00207D88">
            <w:pPr>
              <w:spacing w:line="360" w:lineRule="auto"/>
              <w:jc w:val="both"/>
              <w:rPr>
                <w:rFonts w:ascii="Unistra A" w:hAnsi="Unistra A"/>
                <w:sz w:val="24"/>
                <w:szCs w:val="24"/>
              </w:rPr>
            </w:pPr>
            <w:r w:rsidRPr="00207D88">
              <w:rPr>
                <w:rFonts w:ascii="Unistra A" w:hAnsi="Unistra A" w:cs="CenturyGothic"/>
                <w:sz w:val="24"/>
                <w:szCs w:val="24"/>
              </w:rPr>
              <w:t>déménagement.</w:t>
            </w:r>
          </w:p>
        </w:tc>
      </w:tr>
      <w:tr w:rsidR="00244A1E" w:rsidRPr="00207D88" w:rsidTr="00207D88">
        <w:tc>
          <w:tcPr>
            <w:tcW w:w="3637" w:type="dxa"/>
          </w:tcPr>
          <w:p w:rsidR="00207D88" w:rsidRPr="00207D88" w:rsidRDefault="00207D88" w:rsidP="00367ADA">
            <w:pPr>
              <w:spacing w:line="360" w:lineRule="auto"/>
              <w:jc w:val="both"/>
              <w:rPr>
                <w:rFonts w:ascii="Unistra A" w:hAnsi="Unistra A"/>
                <w:sz w:val="24"/>
                <w:szCs w:val="24"/>
              </w:rPr>
            </w:pPr>
            <w:r w:rsidRPr="00207D88">
              <w:rPr>
                <w:rFonts w:ascii="Unistra A" w:hAnsi="Unistra A"/>
                <w:sz w:val="24"/>
                <w:szCs w:val="24"/>
              </w:rPr>
              <w:t>RISQUES</w:t>
            </w:r>
          </w:p>
        </w:tc>
        <w:tc>
          <w:tcPr>
            <w:tcW w:w="3638" w:type="dxa"/>
          </w:tcPr>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Eloignement de la</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communauté de travail et</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risque d’isolement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Suractivité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Confusion entre vie privée et</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vie professionnelle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Crainte d’être freiné dans son</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évolution de carrière ou sa</w:t>
            </w:r>
          </w:p>
          <w:p w:rsidR="00207D88" w:rsidRPr="00207D88" w:rsidRDefault="00207D88" w:rsidP="00207D88">
            <w:pPr>
              <w:spacing w:line="360" w:lineRule="auto"/>
              <w:jc w:val="both"/>
              <w:rPr>
                <w:rFonts w:ascii="Unistra A" w:hAnsi="Unistra A"/>
                <w:sz w:val="24"/>
                <w:szCs w:val="24"/>
              </w:rPr>
            </w:pPr>
            <w:r w:rsidRPr="00207D88">
              <w:rPr>
                <w:rFonts w:ascii="Unistra A" w:hAnsi="Unistra A" w:cs="CenturyGothic"/>
                <w:sz w:val="24"/>
                <w:szCs w:val="24"/>
              </w:rPr>
              <w:t>formation.</w:t>
            </w:r>
          </w:p>
        </w:tc>
        <w:tc>
          <w:tcPr>
            <w:tcW w:w="3638" w:type="dxa"/>
          </w:tcPr>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Perception d’une inégalité de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traitement par les salariés ne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pouvant accéder au télétravail et</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donc difficulté pour le manager de</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enturyGothic"/>
                <w:sz w:val="24"/>
                <w:szCs w:val="24"/>
              </w:rPr>
              <w:t>proximité à gérer cette inégalité ;</w:t>
            </w:r>
          </w:p>
          <w:p w:rsidR="00207D88" w:rsidRPr="00207D88" w:rsidRDefault="00207D88" w:rsidP="00207D88">
            <w:pPr>
              <w:autoSpaceDE w:val="0"/>
              <w:autoSpaceDN w:val="0"/>
              <w:adjustRightInd w:val="0"/>
              <w:rPr>
                <w:rFonts w:ascii="Unistra A" w:hAnsi="Unistra A" w:cs="CenturyGothic"/>
                <w:sz w:val="24"/>
                <w:szCs w:val="24"/>
              </w:rPr>
            </w:pPr>
            <w:r w:rsidRPr="00207D88">
              <w:rPr>
                <w:rFonts w:ascii="Unistra A" w:hAnsi="Unistra A" w:cs="Calibri"/>
                <w:sz w:val="24"/>
                <w:szCs w:val="24"/>
              </w:rPr>
              <w:t xml:space="preserve">- </w:t>
            </w:r>
            <w:r w:rsidRPr="00207D88">
              <w:rPr>
                <w:rFonts w:ascii="Unistra A" w:hAnsi="Unistra A" w:cs="CenturyGothic"/>
                <w:sz w:val="24"/>
                <w:szCs w:val="24"/>
              </w:rPr>
              <w:t>Désorganisation, perte d’efficacité</w:t>
            </w:r>
          </w:p>
          <w:p w:rsidR="00207D88" w:rsidRPr="00207D88" w:rsidRDefault="00207D88" w:rsidP="00207D88">
            <w:pPr>
              <w:spacing w:line="360" w:lineRule="auto"/>
              <w:jc w:val="both"/>
              <w:rPr>
                <w:rFonts w:ascii="Unistra A" w:hAnsi="Unistra A"/>
                <w:sz w:val="24"/>
                <w:szCs w:val="24"/>
              </w:rPr>
            </w:pPr>
            <w:r w:rsidRPr="00207D88">
              <w:rPr>
                <w:rFonts w:ascii="Unistra A" w:hAnsi="Unistra A" w:cs="CenturyGothic"/>
                <w:sz w:val="24"/>
                <w:szCs w:val="24"/>
              </w:rPr>
              <w:t>collective.</w:t>
            </w:r>
          </w:p>
        </w:tc>
      </w:tr>
    </w:tbl>
    <w:p w:rsidR="00207D88" w:rsidRDefault="00207D88"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4D5289" w:rsidRDefault="004D5289" w:rsidP="00367ADA">
      <w:pPr>
        <w:spacing w:line="360" w:lineRule="auto"/>
        <w:jc w:val="both"/>
        <w:rPr>
          <w:rFonts w:ascii="Unistra A" w:hAnsi="Unistra A"/>
          <w:sz w:val="24"/>
          <w:szCs w:val="24"/>
        </w:rPr>
      </w:pPr>
    </w:p>
    <w:p w:rsidR="003C6452" w:rsidRDefault="003C6452" w:rsidP="004D5289">
      <w:pPr>
        <w:spacing w:line="360" w:lineRule="auto"/>
        <w:jc w:val="both"/>
        <w:rPr>
          <w:rFonts w:ascii="Unistra A" w:hAnsi="Unistra A"/>
          <w:sz w:val="24"/>
          <w:szCs w:val="24"/>
        </w:rPr>
      </w:pPr>
    </w:p>
    <w:p w:rsidR="00EE305E" w:rsidRDefault="001971F8" w:rsidP="004D5289">
      <w:pPr>
        <w:spacing w:line="360" w:lineRule="auto"/>
        <w:jc w:val="both"/>
        <w:rPr>
          <w:rFonts w:ascii="Unistra A" w:hAnsi="Unistra A" w:cs="CenturyGothic"/>
          <w:sz w:val="24"/>
          <w:szCs w:val="24"/>
        </w:rPr>
      </w:pPr>
      <w:bookmarkStart w:id="0" w:name="_GoBack"/>
      <w:r>
        <w:rPr>
          <w:rFonts w:ascii="Unistra A" w:hAnsi="Unistra A"/>
          <w:sz w:val="24"/>
          <w:szCs w:val="24"/>
        </w:rPr>
        <w:t xml:space="preserve">Afin de fournir certaines </w:t>
      </w:r>
      <w:r w:rsidR="00EE305E">
        <w:rPr>
          <w:rFonts w:ascii="Unistra A" w:hAnsi="Unistra A"/>
          <w:sz w:val="24"/>
          <w:szCs w:val="24"/>
        </w:rPr>
        <w:t>préconisations</w:t>
      </w:r>
      <w:r>
        <w:rPr>
          <w:rFonts w:ascii="Unistra A" w:hAnsi="Unistra A"/>
          <w:sz w:val="24"/>
          <w:szCs w:val="24"/>
        </w:rPr>
        <w:t xml:space="preserve"> quant au recours au télétravail, le rapport </w:t>
      </w:r>
      <w:r w:rsidR="00DF0A38">
        <w:rPr>
          <w:rFonts w:ascii="Unistra A" w:hAnsi="Unistra A"/>
          <w:sz w:val="24"/>
          <w:szCs w:val="24"/>
        </w:rPr>
        <w:t>analyse les pratiques réalisées par les entreprises ayant conclu un accord collectif sur le télétravail, à savoir essentiellement les secteurs bancaires, informatiques, assurances, pharmaceutiques</w:t>
      </w:r>
      <w:r w:rsidR="00DF0A38">
        <w:rPr>
          <w:rStyle w:val="Appelnotedebasdep"/>
          <w:rFonts w:ascii="Unistra A" w:hAnsi="Unistra A"/>
          <w:sz w:val="24"/>
          <w:szCs w:val="24"/>
        </w:rPr>
        <w:footnoteReference w:id="3"/>
      </w:r>
      <w:r w:rsidR="00EE305E">
        <w:rPr>
          <w:rFonts w:ascii="Unistra A" w:hAnsi="Unistra A"/>
          <w:sz w:val="24"/>
          <w:szCs w:val="24"/>
        </w:rPr>
        <w:t xml:space="preserve"> et détermine </w:t>
      </w:r>
      <w:r w:rsidR="001144E3">
        <w:rPr>
          <w:rFonts w:ascii="Unistra A" w:hAnsi="Unistra A"/>
          <w:sz w:val="24"/>
          <w:szCs w:val="24"/>
        </w:rPr>
        <w:t xml:space="preserve">les différents enjeux liés au télétravail </w:t>
      </w:r>
      <w:r w:rsidR="00EE305E">
        <w:rPr>
          <w:rFonts w:ascii="Unistra A" w:hAnsi="Unistra A"/>
          <w:sz w:val="24"/>
          <w:szCs w:val="24"/>
        </w:rPr>
        <w:t>que</w:t>
      </w:r>
      <w:r w:rsidR="001144E3">
        <w:rPr>
          <w:rFonts w:ascii="Unistra A" w:hAnsi="Unistra A"/>
          <w:sz w:val="24"/>
          <w:szCs w:val="24"/>
        </w:rPr>
        <w:t xml:space="preserve"> sont : </w:t>
      </w:r>
    </w:p>
    <w:p w:rsidR="00206396" w:rsidRDefault="001144E3" w:rsidP="001144E3">
      <w:pPr>
        <w:pStyle w:val="Paragraphedeliste"/>
        <w:numPr>
          <w:ilvl w:val="0"/>
          <w:numId w:val="2"/>
        </w:numPr>
        <w:autoSpaceDE w:val="0"/>
        <w:autoSpaceDN w:val="0"/>
        <w:adjustRightInd w:val="0"/>
        <w:spacing w:after="0" w:line="360" w:lineRule="auto"/>
        <w:jc w:val="both"/>
        <w:rPr>
          <w:rFonts w:ascii="Unistra A" w:hAnsi="Unistra A" w:cs="CenturyGothic"/>
          <w:sz w:val="24"/>
          <w:szCs w:val="24"/>
        </w:rPr>
      </w:pPr>
      <w:r w:rsidRPr="00D175DD">
        <w:rPr>
          <w:rFonts w:ascii="Unistra A" w:hAnsi="Unistra A" w:cs="CenturyGothic"/>
          <w:sz w:val="24"/>
          <w:szCs w:val="24"/>
        </w:rPr>
        <w:t>La clarification de règles juridi</w:t>
      </w:r>
      <w:r w:rsidR="00206396">
        <w:rPr>
          <w:rFonts w:ascii="Unistra A" w:hAnsi="Unistra A" w:cs="CenturyGothic"/>
          <w:sz w:val="24"/>
          <w:szCs w:val="24"/>
        </w:rPr>
        <w:t>ques applicables au télétravail</w:t>
      </w:r>
    </w:p>
    <w:p w:rsidR="001144E3" w:rsidRPr="00D175DD" w:rsidRDefault="00206396" w:rsidP="001144E3">
      <w:pPr>
        <w:pStyle w:val="Paragraphedeliste"/>
        <w:numPr>
          <w:ilvl w:val="0"/>
          <w:numId w:val="2"/>
        </w:numPr>
        <w:autoSpaceDE w:val="0"/>
        <w:autoSpaceDN w:val="0"/>
        <w:adjustRightInd w:val="0"/>
        <w:spacing w:after="0" w:line="360" w:lineRule="auto"/>
        <w:jc w:val="both"/>
        <w:rPr>
          <w:rFonts w:ascii="Unistra A" w:hAnsi="Unistra A" w:cs="CenturyGothic"/>
          <w:sz w:val="24"/>
          <w:szCs w:val="24"/>
        </w:rPr>
      </w:pPr>
      <w:r>
        <w:rPr>
          <w:rFonts w:ascii="Unistra A" w:hAnsi="Unistra A" w:cs="CenturyGothic"/>
          <w:sz w:val="24"/>
          <w:szCs w:val="24"/>
        </w:rPr>
        <w:t>L</w:t>
      </w:r>
      <w:r w:rsidR="001144E3" w:rsidRPr="00D175DD">
        <w:rPr>
          <w:rFonts w:ascii="Unistra A" w:hAnsi="Unistra A" w:cs="CenturyGothic"/>
          <w:sz w:val="24"/>
          <w:szCs w:val="24"/>
        </w:rPr>
        <w:t>’articulation entre télétravail régulier, occasionnel et informel ;</w:t>
      </w:r>
    </w:p>
    <w:p w:rsidR="001144E3" w:rsidRDefault="001144E3" w:rsidP="001144E3">
      <w:pPr>
        <w:pStyle w:val="Paragraphedeliste"/>
        <w:numPr>
          <w:ilvl w:val="0"/>
          <w:numId w:val="2"/>
        </w:numPr>
        <w:autoSpaceDE w:val="0"/>
        <w:autoSpaceDN w:val="0"/>
        <w:adjustRightInd w:val="0"/>
        <w:spacing w:after="0" w:line="360" w:lineRule="auto"/>
        <w:jc w:val="both"/>
        <w:rPr>
          <w:rFonts w:ascii="Unistra A" w:hAnsi="Unistra A" w:cs="CenturyGothic"/>
          <w:sz w:val="24"/>
          <w:szCs w:val="24"/>
        </w:rPr>
      </w:pPr>
      <w:r w:rsidRPr="006D545E">
        <w:rPr>
          <w:rFonts w:ascii="Unistra A" w:hAnsi="Unistra A" w:cs="Symbol"/>
          <w:sz w:val="24"/>
          <w:szCs w:val="24"/>
        </w:rPr>
        <w:t xml:space="preserve"> </w:t>
      </w:r>
      <w:r w:rsidRPr="006D545E">
        <w:rPr>
          <w:rFonts w:ascii="Unistra A" w:hAnsi="Unistra A" w:cs="CenturyGothic"/>
          <w:sz w:val="24"/>
          <w:szCs w:val="24"/>
        </w:rPr>
        <w:t>L’organisation du temps de travail ;</w:t>
      </w:r>
    </w:p>
    <w:p w:rsidR="001144E3" w:rsidRDefault="001144E3" w:rsidP="001144E3">
      <w:pPr>
        <w:pStyle w:val="Paragraphedeliste"/>
        <w:numPr>
          <w:ilvl w:val="0"/>
          <w:numId w:val="2"/>
        </w:numPr>
        <w:autoSpaceDE w:val="0"/>
        <w:autoSpaceDN w:val="0"/>
        <w:adjustRightInd w:val="0"/>
        <w:spacing w:after="0" w:line="360" w:lineRule="auto"/>
        <w:jc w:val="both"/>
        <w:rPr>
          <w:rFonts w:ascii="Unistra A" w:hAnsi="Unistra A" w:cs="CenturyGothic"/>
          <w:sz w:val="24"/>
          <w:szCs w:val="24"/>
        </w:rPr>
      </w:pPr>
      <w:r w:rsidRPr="006D545E">
        <w:rPr>
          <w:rFonts w:ascii="Unistra A" w:hAnsi="Unistra A" w:cs="Symbol"/>
          <w:sz w:val="24"/>
          <w:szCs w:val="24"/>
        </w:rPr>
        <w:t xml:space="preserve"> </w:t>
      </w:r>
      <w:r w:rsidRPr="006D545E">
        <w:rPr>
          <w:rFonts w:ascii="Unistra A" w:hAnsi="Unistra A" w:cs="CenturyGothic"/>
          <w:sz w:val="24"/>
          <w:szCs w:val="24"/>
        </w:rPr>
        <w:t>Le droit à la déconnexion ;</w:t>
      </w:r>
    </w:p>
    <w:p w:rsidR="001144E3" w:rsidRDefault="001144E3" w:rsidP="001144E3">
      <w:pPr>
        <w:pStyle w:val="Paragraphedeliste"/>
        <w:numPr>
          <w:ilvl w:val="0"/>
          <w:numId w:val="2"/>
        </w:numPr>
        <w:autoSpaceDE w:val="0"/>
        <w:autoSpaceDN w:val="0"/>
        <w:adjustRightInd w:val="0"/>
        <w:spacing w:after="0" w:line="360" w:lineRule="auto"/>
        <w:jc w:val="both"/>
        <w:rPr>
          <w:rFonts w:ascii="Unistra A" w:hAnsi="Unistra A" w:cs="CenturyGothic"/>
          <w:sz w:val="24"/>
          <w:szCs w:val="24"/>
        </w:rPr>
      </w:pPr>
      <w:r w:rsidRPr="006D545E">
        <w:rPr>
          <w:rFonts w:ascii="Unistra A" w:hAnsi="Unistra A" w:cs="Symbol"/>
          <w:sz w:val="24"/>
          <w:szCs w:val="24"/>
        </w:rPr>
        <w:t xml:space="preserve"> </w:t>
      </w:r>
      <w:r w:rsidRPr="006D545E">
        <w:rPr>
          <w:rFonts w:ascii="Unistra A" w:hAnsi="Unistra A" w:cs="CenturyGothic"/>
          <w:sz w:val="24"/>
          <w:szCs w:val="24"/>
        </w:rPr>
        <w:t xml:space="preserve">La protection des données personnelles ; </w:t>
      </w:r>
    </w:p>
    <w:p w:rsidR="001144E3" w:rsidRPr="006D545E" w:rsidRDefault="001144E3" w:rsidP="001144E3">
      <w:pPr>
        <w:pStyle w:val="Paragraphedeliste"/>
        <w:numPr>
          <w:ilvl w:val="0"/>
          <w:numId w:val="2"/>
        </w:numPr>
        <w:autoSpaceDE w:val="0"/>
        <w:autoSpaceDN w:val="0"/>
        <w:adjustRightInd w:val="0"/>
        <w:spacing w:after="0" w:line="360" w:lineRule="auto"/>
        <w:jc w:val="both"/>
        <w:rPr>
          <w:rFonts w:ascii="Unistra A" w:hAnsi="Unistra A"/>
          <w:sz w:val="24"/>
          <w:szCs w:val="24"/>
        </w:rPr>
      </w:pPr>
      <w:r w:rsidRPr="006D545E">
        <w:rPr>
          <w:rFonts w:ascii="Unistra A" w:hAnsi="Unistra A" w:cs="Symbol"/>
          <w:sz w:val="24"/>
          <w:szCs w:val="24"/>
        </w:rPr>
        <w:t xml:space="preserve"> </w:t>
      </w:r>
      <w:r w:rsidRPr="006D545E">
        <w:rPr>
          <w:rFonts w:ascii="Unistra A" w:hAnsi="Unistra A" w:cs="CenturyGothic"/>
          <w:sz w:val="24"/>
          <w:szCs w:val="24"/>
        </w:rPr>
        <w:t>La mobilité, la multiplication des lieux de travail et l’essor prévisible des tiers- lieux ;</w:t>
      </w:r>
    </w:p>
    <w:p w:rsidR="001144E3" w:rsidRPr="00B77B81" w:rsidRDefault="001144E3" w:rsidP="001144E3">
      <w:pPr>
        <w:pStyle w:val="Paragraphedeliste"/>
        <w:numPr>
          <w:ilvl w:val="0"/>
          <w:numId w:val="2"/>
        </w:numPr>
        <w:autoSpaceDE w:val="0"/>
        <w:autoSpaceDN w:val="0"/>
        <w:adjustRightInd w:val="0"/>
        <w:spacing w:after="0" w:line="360" w:lineRule="auto"/>
        <w:jc w:val="both"/>
        <w:rPr>
          <w:rFonts w:ascii="Unistra A" w:hAnsi="Unistra A"/>
          <w:sz w:val="24"/>
          <w:szCs w:val="24"/>
        </w:rPr>
      </w:pPr>
      <w:r w:rsidRPr="006D545E">
        <w:rPr>
          <w:rFonts w:ascii="Unistra A" w:hAnsi="Unistra A" w:cs="Symbol"/>
          <w:sz w:val="24"/>
          <w:szCs w:val="24"/>
        </w:rPr>
        <w:t xml:space="preserve"> </w:t>
      </w:r>
      <w:r w:rsidRPr="006D545E">
        <w:rPr>
          <w:rFonts w:ascii="Unistra A" w:hAnsi="Unistra A" w:cs="CenturyGothic"/>
          <w:sz w:val="24"/>
          <w:szCs w:val="24"/>
        </w:rPr>
        <w:t>L’impact sur l’encadrement de proximité et la nécessité d’un management par la confiance.</w:t>
      </w:r>
    </w:p>
    <w:bookmarkEnd w:id="0"/>
    <w:p w:rsidR="00B77B81" w:rsidRPr="00B77B81" w:rsidRDefault="00B77B81" w:rsidP="00B77B81">
      <w:pPr>
        <w:pStyle w:val="Paragraphedeliste"/>
        <w:autoSpaceDE w:val="0"/>
        <w:autoSpaceDN w:val="0"/>
        <w:adjustRightInd w:val="0"/>
        <w:spacing w:after="0" w:line="360" w:lineRule="auto"/>
        <w:ind w:left="1068"/>
        <w:jc w:val="both"/>
        <w:rPr>
          <w:rFonts w:ascii="Unistra A" w:hAnsi="Unistra A"/>
          <w:sz w:val="24"/>
          <w:szCs w:val="24"/>
        </w:rPr>
      </w:pPr>
    </w:p>
    <w:p w:rsidR="00B77B81" w:rsidRDefault="00B77B81" w:rsidP="00B77B81">
      <w:pPr>
        <w:autoSpaceDE w:val="0"/>
        <w:autoSpaceDN w:val="0"/>
        <w:adjustRightInd w:val="0"/>
        <w:spacing w:after="0" w:line="360" w:lineRule="auto"/>
        <w:jc w:val="both"/>
        <w:rPr>
          <w:rFonts w:ascii="Unistra A" w:hAnsi="Unistra A"/>
          <w:sz w:val="24"/>
          <w:szCs w:val="24"/>
        </w:rPr>
      </w:pPr>
      <w:r>
        <w:rPr>
          <w:rFonts w:ascii="Unistra A" w:hAnsi="Unistra A"/>
          <w:sz w:val="24"/>
          <w:szCs w:val="24"/>
        </w:rPr>
        <w:t xml:space="preserve">Le rapport insiste tout d’abord sur les </w:t>
      </w:r>
      <w:r w:rsidRPr="006635F5">
        <w:rPr>
          <w:rFonts w:ascii="Unistra A" w:hAnsi="Unistra A"/>
          <w:b/>
          <w:sz w:val="24"/>
          <w:szCs w:val="24"/>
          <w:u w:val="single"/>
        </w:rPr>
        <w:t>principes de double volontariat et de réversibilité</w:t>
      </w:r>
      <w:r>
        <w:rPr>
          <w:rFonts w:ascii="Unistra A" w:hAnsi="Unistra A"/>
          <w:sz w:val="24"/>
          <w:szCs w:val="24"/>
        </w:rPr>
        <w:t>. Il est opportun en effet, d’encadrer le télétravail pour une durée déterminée en prévoyant qu’à l’issue de ladite période, le salarié retrouve ses conditions d’emploi antérieures</w:t>
      </w:r>
      <w:r w:rsidR="006635F5">
        <w:rPr>
          <w:rFonts w:ascii="Unistra A" w:hAnsi="Unistra A"/>
          <w:sz w:val="24"/>
          <w:szCs w:val="24"/>
        </w:rPr>
        <w:t xml:space="preserve"> c’est-à-dire dans les locaux de l’entreprise</w:t>
      </w:r>
      <w:r>
        <w:rPr>
          <w:rFonts w:ascii="Unistra A" w:hAnsi="Unistra A"/>
          <w:sz w:val="24"/>
          <w:szCs w:val="24"/>
        </w:rPr>
        <w:t>. De plus, il est important que le recours au télétravail résulte de la volonté à la fois de l’employeur et du salarié.</w:t>
      </w:r>
      <w:r w:rsidR="006635F5">
        <w:rPr>
          <w:rFonts w:ascii="Unistra A" w:hAnsi="Unistra A"/>
          <w:sz w:val="24"/>
          <w:szCs w:val="24"/>
        </w:rPr>
        <w:t xml:space="preserve"> Ces deux éléments doivent clairement être formalisés dans l’accord collectif et l’avenant au contrat de travail prévoyant le recours au télétravail.</w:t>
      </w:r>
    </w:p>
    <w:p w:rsidR="006635F5" w:rsidRDefault="006635F5" w:rsidP="00B77B81">
      <w:pPr>
        <w:autoSpaceDE w:val="0"/>
        <w:autoSpaceDN w:val="0"/>
        <w:adjustRightInd w:val="0"/>
        <w:spacing w:after="0" w:line="360" w:lineRule="auto"/>
        <w:jc w:val="both"/>
        <w:rPr>
          <w:rFonts w:ascii="Unistra A" w:hAnsi="Unistra A"/>
          <w:sz w:val="24"/>
          <w:szCs w:val="24"/>
        </w:rPr>
      </w:pPr>
    </w:p>
    <w:p w:rsidR="004D5289" w:rsidRDefault="006635F5" w:rsidP="00B77B81">
      <w:pPr>
        <w:autoSpaceDE w:val="0"/>
        <w:autoSpaceDN w:val="0"/>
        <w:adjustRightInd w:val="0"/>
        <w:spacing w:after="0" w:line="360" w:lineRule="auto"/>
        <w:jc w:val="both"/>
        <w:rPr>
          <w:rFonts w:ascii="Unistra A" w:hAnsi="Unistra A"/>
          <w:sz w:val="24"/>
          <w:szCs w:val="24"/>
        </w:rPr>
      </w:pPr>
      <w:r>
        <w:rPr>
          <w:rFonts w:ascii="Unistra A" w:hAnsi="Unistra A"/>
          <w:sz w:val="24"/>
          <w:szCs w:val="24"/>
        </w:rPr>
        <w:t xml:space="preserve">Par ailleurs, le rapport s’intéresse à la </w:t>
      </w:r>
      <w:r w:rsidRPr="006635F5">
        <w:rPr>
          <w:rFonts w:ascii="Unistra A" w:hAnsi="Unistra A"/>
          <w:b/>
          <w:sz w:val="24"/>
          <w:szCs w:val="24"/>
          <w:u w:val="single"/>
        </w:rPr>
        <w:t>conformité du lieu du télétravail, qu’il s’agisse de sa mise en œuvre et sa prise en charge</w:t>
      </w:r>
      <w:r w:rsidRPr="006635F5">
        <w:rPr>
          <w:rFonts w:ascii="Unistra A" w:hAnsi="Unistra A"/>
          <w:b/>
          <w:sz w:val="24"/>
          <w:szCs w:val="24"/>
        </w:rPr>
        <w:t xml:space="preserve">. </w:t>
      </w:r>
      <w:r w:rsidR="0097183A">
        <w:rPr>
          <w:rFonts w:ascii="Unistra A" w:hAnsi="Unistra A"/>
          <w:sz w:val="24"/>
          <w:szCs w:val="24"/>
        </w:rPr>
        <w:t xml:space="preserve">A cet effet le rapport soulève les questions d’habilitation électrique et  de l’assurance multirisques habitation devant couvrir le télétravail.  La question se pose de la prise en charge des frais inhérents à la mise en place du télétravail. En ce qui concerne les règles de conformité électrique, l’employeur prend en charge à concurrence d’un certain plafond le diagnostic électrique obligatoire. Pour </w:t>
      </w:r>
      <w:proofErr w:type="gramStart"/>
      <w:r w:rsidR="0097183A">
        <w:rPr>
          <w:rFonts w:ascii="Unistra A" w:hAnsi="Unistra A"/>
          <w:sz w:val="24"/>
          <w:szCs w:val="24"/>
        </w:rPr>
        <w:t>l’assurance multirisques</w:t>
      </w:r>
      <w:proofErr w:type="gramEnd"/>
      <w:r w:rsidR="0097183A">
        <w:rPr>
          <w:rFonts w:ascii="Unistra A" w:hAnsi="Unistra A"/>
          <w:sz w:val="24"/>
          <w:szCs w:val="24"/>
        </w:rPr>
        <w:t xml:space="preserve"> habitation, le salarié </w:t>
      </w:r>
      <w:r w:rsidR="004459A7">
        <w:rPr>
          <w:rFonts w:ascii="Unistra A" w:hAnsi="Unistra A"/>
          <w:sz w:val="24"/>
          <w:szCs w:val="24"/>
        </w:rPr>
        <w:t>doit avertir son assureur de l’utilisation de son domicile comme lieu de travail et l’employeur doit prendre en charge tout ce qui n’est pas couvert par la compagnie d’assurance.</w:t>
      </w:r>
      <w:r w:rsidR="0020639C">
        <w:rPr>
          <w:rFonts w:ascii="Unistra A" w:hAnsi="Unistra A"/>
          <w:sz w:val="24"/>
          <w:szCs w:val="24"/>
        </w:rPr>
        <w:t xml:space="preserve"> La question se pose sur ce point de savoir quelle forme doit prendre la prise en charge de l’employeur</w:t>
      </w:r>
      <w:r w:rsidR="0020639C">
        <w:rPr>
          <w:rStyle w:val="Appelnotedebasdep"/>
          <w:rFonts w:ascii="Unistra A" w:hAnsi="Unistra A"/>
          <w:sz w:val="24"/>
          <w:szCs w:val="24"/>
        </w:rPr>
        <w:footnoteReference w:id="4"/>
      </w:r>
      <w:r w:rsidR="0020639C">
        <w:rPr>
          <w:rFonts w:ascii="Unistra A" w:hAnsi="Unistra A"/>
          <w:sz w:val="24"/>
          <w:szCs w:val="24"/>
        </w:rPr>
        <w:t xml:space="preserve"> et les frais inhérents au télétravail dans le cadre de l’URSAFF.  Sur ce point le rapport </w:t>
      </w:r>
      <w:r w:rsidR="00D71152">
        <w:rPr>
          <w:rFonts w:ascii="Unistra A" w:hAnsi="Unistra A"/>
          <w:sz w:val="24"/>
          <w:szCs w:val="24"/>
        </w:rPr>
        <w:t xml:space="preserve">précise que pour l’URSSAF, lorsque le </w:t>
      </w:r>
    </w:p>
    <w:p w:rsidR="004D5289" w:rsidRDefault="004D5289" w:rsidP="00B77B81">
      <w:pPr>
        <w:autoSpaceDE w:val="0"/>
        <w:autoSpaceDN w:val="0"/>
        <w:adjustRightInd w:val="0"/>
        <w:spacing w:after="0" w:line="360" w:lineRule="auto"/>
        <w:jc w:val="both"/>
        <w:rPr>
          <w:rFonts w:ascii="Unistra A" w:hAnsi="Unistra A"/>
          <w:sz w:val="24"/>
          <w:szCs w:val="24"/>
        </w:rPr>
      </w:pPr>
    </w:p>
    <w:p w:rsidR="004D5289" w:rsidRDefault="004D5289" w:rsidP="00B77B81">
      <w:pPr>
        <w:autoSpaceDE w:val="0"/>
        <w:autoSpaceDN w:val="0"/>
        <w:adjustRightInd w:val="0"/>
        <w:spacing w:after="0" w:line="360" w:lineRule="auto"/>
        <w:jc w:val="both"/>
        <w:rPr>
          <w:rFonts w:ascii="Unistra A" w:hAnsi="Unistra A"/>
          <w:sz w:val="24"/>
          <w:szCs w:val="24"/>
        </w:rPr>
      </w:pPr>
    </w:p>
    <w:p w:rsidR="006635F5" w:rsidRDefault="00D71152" w:rsidP="00B77B81">
      <w:pPr>
        <w:autoSpaceDE w:val="0"/>
        <w:autoSpaceDN w:val="0"/>
        <w:adjustRightInd w:val="0"/>
        <w:spacing w:after="0" w:line="360" w:lineRule="auto"/>
        <w:jc w:val="both"/>
        <w:rPr>
          <w:rFonts w:ascii="Unistra A" w:hAnsi="Unistra A"/>
          <w:sz w:val="24"/>
          <w:szCs w:val="24"/>
        </w:rPr>
      </w:pPr>
      <w:proofErr w:type="gramStart"/>
      <w:r>
        <w:rPr>
          <w:rFonts w:ascii="Unistra A" w:hAnsi="Unistra A"/>
          <w:sz w:val="24"/>
          <w:szCs w:val="24"/>
        </w:rPr>
        <w:t>télétravailleur</w:t>
      </w:r>
      <w:proofErr w:type="gramEnd"/>
      <w:r>
        <w:rPr>
          <w:rFonts w:ascii="Unistra A" w:hAnsi="Unistra A"/>
          <w:sz w:val="24"/>
          <w:szCs w:val="24"/>
        </w:rPr>
        <w:t xml:space="preserve"> engage des frais, leur remboursement par l’employeur n’est pas soumis à cotisation.</w:t>
      </w:r>
      <w:r w:rsidR="004D5289">
        <w:rPr>
          <w:rFonts w:ascii="Unistra A" w:hAnsi="Unistra A"/>
          <w:sz w:val="24"/>
          <w:szCs w:val="24"/>
        </w:rPr>
        <w:t xml:space="preserve"> L</w:t>
      </w:r>
      <w:r>
        <w:rPr>
          <w:rFonts w:ascii="Unistra A" w:hAnsi="Unistra A"/>
          <w:sz w:val="24"/>
          <w:szCs w:val="24"/>
        </w:rPr>
        <w:t xml:space="preserve">’évaluation des coûts liés au télétravail </w:t>
      </w:r>
      <w:r w:rsidR="004D5289">
        <w:rPr>
          <w:rFonts w:ascii="Unistra A" w:hAnsi="Unistra A"/>
          <w:sz w:val="24"/>
          <w:szCs w:val="24"/>
        </w:rPr>
        <w:t xml:space="preserve">engagés par le salarié et remboursés par l’employeur </w:t>
      </w:r>
      <w:r>
        <w:rPr>
          <w:rFonts w:ascii="Unistra A" w:hAnsi="Unistra A"/>
          <w:sz w:val="24"/>
          <w:szCs w:val="24"/>
        </w:rPr>
        <w:t xml:space="preserve">est effectuée au réel. </w:t>
      </w:r>
      <w:r w:rsidR="004D5289">
        <w:rPr>
          <w:rFonts w:ascii="Unistra A" w:hAnsi="Unistra A"/>
          <w:sz w:val="24"/>
          <w:szCs w:val="24"/>
        </w:rPr>
        <w:t>Sur ce point les auteurs préconisent que.</w:t>
      </w:r>
      <w:r w:rsidR="0020639C">
        <w:rPr>
          <w:rFonts w:ascii="Unistra A" w:hAnsi="Unistra A"/>
          <w:sz w:val="24"/>
          <w:szCs w:val="24"/>
        </w:rPr>
        <w:t xml:space="preserve"> </w:t>
      </w:r>
      <w:r w:rsidR="0020639C" w:rsidRPr="00D71152">
        <w:rPr>
          <w:rFonts w:ascii="Unistra A" w:hAnsi="Unistra A"/>
          <w:i/>
          <w:sz w:val="24"/>
          <w:szCs w:val="24"/>
        </w:rPr>
        <w:t>« </w:t>
      </w:r>
      <w:proofErr w:type="gramStart"/>
      <w:r w:rsidR="0020639C" w:rsidRPr="00D71152">
        <w:rPr>
          <w:rFonts w:ascii="Unistra A" w:hAnsi="Unistra A"/>
          <w:i/>
          <w:sz w:val="24"/>
          <w:szCs w:val="24"/>
        </w:rPr>
        <w:t>la</w:t>
      </w:r>
      <w:proofErr w:type="gramEnd"/>
      <w:r w:rsidR="0020639C" w:rsidRPr="00D71152">
        <w:rPr>
          <w:rFonts w:ascii="Unistra A" w:hAnsi="Unistra A"/>
          <w:i/>
          <w:sz w:val="24"/>
          <w:szCs w:val="24"/>
        </w:rPr>
        <w:t xml:space="preserve"> réforme de l’évaluation de ces frais professionnels sur une base forfaitaire légale ou conventionnelle</w:t>
      </w:r>
      <w:r w:rsidRPr="00D71152">
        <w:rPr>
          <w:rFonts w:ascii="Unistra A" w:hAnsi="Unistra A"/>
          <w:i/>
          <w:sz w:val="24"/>
          <w:szCs w:val="24"/>
        </w:rPr>
        <w:t xml:space="preserve"> constituerait une évolution de nature à</w:t>
      </w:r>
      <w:r w:rsidR="004D5289">
        <w:rPr>
          <w:rFonts w:ascii="Unistra A" w:hAnsi="Unistra A"/>
          <w:i/>
          <w:sz w:val="24"/>
          <w:szCs w:val="24"/>
        </w:rPr>
        <w:t xml:space="preserve"> </w:t>
      </w:r>
      <w:r w:rsidRPr="00D71152">
        <w:rPr>
          <w:rFonts w:ascii="Unistra A" w:hAnsi="Unistra A"/>
          <w:i/>
          <w:sz w:val="24"/>
          <w:szCs w:val="24"/>
        </w:rPr>
        <w:t>sécuriser les entreprises et à simplifier la gestion de ces dispositions </w:t>
      </w:r>
      <w:r w:rsidR="00E33CD4">
        <w:rPr>
          <w:rFonts w:ascii="Unistra A" w:hAnsi="Unistra A"/>
          <w:i/>
          <w:sz w:val="24"/>
          <w:szCs w:val="24"/>
        </w:rPr>
        <w:t>et à éviter un surcoût qui peut devenir dissuasif</w:t>
      </w:r>
      <w:r w:rsidR="00E33CD4">
        <w:rPr>
          <w:rStyle w:val="Appelnotedebasdep"/>
          <w:rFonts w:ascii="Unistra A" w:hAnsi="Unistra A"/>
          <w:i/>
          <w:sz w:val="24"/>
          <w:szCs w:val="24"/>
        </w:rPr>
        <w:footnoteReference w:id="5"/>
      </w:r>
      <w:r w:rsidRPr="00D71152">
        <w:rPr>
          <w:rFonts w:ascii="Unistra A" w:hAnsi="Unistra A"/>
          <w:i/>
          <w:sz w:val="24"/>
          <w:szCs w:val="24"/>
        </w:rPr>
        <w:t>».</w:t>
      </w:r>
      <w:r w:rsidR="009A73D6">
        <w:rPr>
          <w:rFonts w:ascii="Unistra A" w:hAnsi="Unistra A"/>
          <w:sz w:val="24"/>
          <w:szCs w:val="24"/>
        </w:rPr>
        <w:t xml:space="preserve"> Enfin, le rapport souligne la nécessité de prévoir une indemnité d’occupation du logement</w:t>
      </w:r>
      <w:r w:rsidR="00E33CD4">
        <w:rPr>
          <w:rFonts w:ascii="Unistra A" w:hAnsi="Unistra A"/>
          <w:sz w:val="24"/>
          <w:szCs w:val="24"/>
        </w:rPr>
        <w:t>.</w:t>
      </w:r>
    </w:p>
    <w:p w:rsidR="00E33CD4" w:rsidRDefault="00E33CD4" w:rsidP="00B77B81">
      <w:pPr>
        <w:autoSpaceDE w:val="0"/>
        <w:autoSpaceDN w:val="0"/>
        <w:adjustRightInd w:val="0"/>
        <w:spacing w:after="0" w:line="360" w:lineRule="auto"/>
        <w:jc w:val="both"/>
        <w:rPr>
          <w:rFonts w:ascii="Unistra A" w:hAnsi="Unistra A"/>
          <w:sz w:val="24"/>
          <w:szCs w:val="24"/>
        </w:rPr>
      </w:pPr>
    </w:p>
    <w:p w:rsidR="00E33CD4" w:rsidRDefault="00E33CD4" w:rsidP="00B77B81">
      <w:pPr>
        <w:autoSpaceDE w:val="0"/>
        <w:autoSpaceDN w:val="0"/>
        <w:adjustRightInd w:val="0"/>
        <w:spacing w:after="0" w:line="360" w:lineRule="auto"/>
        <w:jc w:val="both"/>
        <w:rPr>
          <w:rFonts w:ascii="Unistra A" w:hAnsi="Unistra A"/>
          <w:sz w:val="24"/>
          <w:szCs w:val="24"/>
        </w:rPr>
      </w:pPr>
      <w:r>
        <w:rPr>
          <w:rFonts w:ascii="Unistra A" w:hAnsi="Unistra A"/>
          <w:sz w:val="24"/>
          <w:szCs w:val="24"/>
        </w:rPr>
        <w:t xml:space="preserve">En ce qui concerne les risques professionnels, le rapport attire l’attention sur la </w:t>
      </w:r>
      <w:r w:rsidRPr="00E33CD4">
        <w:rPr>
          <w:rFonts w:ascii="Unistra A" w:hAnsi="Unistra A"/>
          <w:b/>
          <w:sz w:val="24"/>
          <w:szCs w:val="24"/>
          <w:u w:val="single"/>
        </w:rPr>
        <w:t>prise en charge des accidents de trajets</w:t>
      </w:r>
      <w:r>
        <w:rPr>
          <w:rFonts w:ascii="Unistra A" w:hAnsi="Unistra A"/>
          <w:b/>
          <w:sz w:val="24"/>
          <w:szCs w:val="24"/>
          <w:u w:val="single"/>
        </w:rPr>
        <w:t xml:space="preserve"> </w:t>
      </w:r>
      <w:r>
        <w:rPr>
          <w:rFonts w:ascii="Unistra A" w:hAnsi="Unistra A"/>
          <w:sz w:val="24"/>
          <w:szCs w:val="24"/>
        </w:rPr>
        <w:t xml:space="preserve">selon lequel </w:t>
      </w:r>
      <w:r w:rsidRPr="00796940">
        <w:rPr>
          <w:rFonts w:ascii="Unistra A" w:hAnsi="Unistra A"/>
          <w:i/>
          <w:sz w:val="24"/>
          <w:szCs w:val="24"/>
        </w:rPr>
        <w:t xml:space="preserve">« dans le cas du télétravail, et lorsque celui-ci est effectué dans un tiers lieu, le trajet entre le domicile du salarié et ce tiers lieu est considéré comme un accident de trajet, sous réserve d’instruction de la CPAM. Il est donc préférable de prévoir dans les accords ou les avenants les tiers lieux potentiellement utilisables par </w:t>
      </w:r>
      <w:r w:rsidR="003405D1" w:rsidRPr="00796940">
        <w:rPr>
          <w:rFonts w:ascii="Unistra A" w:hAnsi="Unistra A"/>
          <w:i/>
          <w:sz w:val="24"/>
          <w:szCs w:val="24"/>
        </w:rPr>
        <w:t>les</w:t>
      </w:r>
      <w:r w:rsidRPr="00796940">
        <w:rPr>
          <w:rFonts w:ascii="Unistra A" w:hAnsi="Unistra A"/>
          <w:i/>
          <w:sz w:val="24"/>
          <w:szCs w:val="24"/>
        </w:rPr>
        <w:t xml:space="preserve"> télétravailleurs</w:t>
      </w:r>
      <w:r w:rsidRPr="00796940">
        <w:rPr>
          <w:rStyle w:val="Appelnotedebasdep"/>
          <w:rFonts w:ascii="Unistra A" w:hAnsi="Unistra A"/>
          <w:i/>
          <w:sz w:val="24"/>
          <w:szCs w:val="24"/>
        </w:rPr>
        <w:footnoteReference w:id="6"/>
      </w:r>
      <w:r w:rsidR="00796940" w:rsidRPr="00796940">
        <w:rPr>
          <w:rFonts w:ascii="Unistra A" w:hAnsi="Unistra A"/>
          <w:i/>
          <w:sz w:val="24"/>
          <w:szCs w:val="24"/>
        </w:rPr>
        <w:t> »</w:t>
      </w:r>
      <w:r w:rsidR="003405D1" w:rsidRPr="00796940">
        <w:rPr>
          <w:rFonts w:ascii="Unistra A" w:hAnsi="Unistra A"/>
          <w:i/>
          <w:sz w:val="24"/>
          <w:szCs w:val="24"/>
        </w:rPr>
        <w:t>.</w:t>
      </w:r>
      <w:r w:rsidR="00796940">
        <w:rPr>
          <w:rFonts w:ascii="Unistra A" w:hAnsi="Unistra A"/>
          <w:sz w:val="24"/>
          <w:szCs w:val="24"/>
        </w:rPr>
        <w:t xml:space="preserve"> </w:t>
      </w:r>
    </w:p>
    <w:p w:rsidR="003303B3" w:rsidRDefault="003303B3" w:rsidP="00B77B81">
      <w:pPr>
        <w:autoSpaceDE w:val="0"/>
        <w:autoSpaceDN w:val="0"/>
        <w:adjustRightInd w:val="0"/>
        <w:spacing w:after="0" w:line="360" w:lineRule="auto"/>
        <w:jc w:val="both"/>
        <w:rPr>
          <w:rFonts w:ascii="Unistra A" w:hAnsi="Unistra A"/>
          <w:sz w:val="24"/>
          <w:szCs w:val="24"/>
        </w:rPr>
      </w:pPr>
    </w:p>
    <w:p w:rsidR="003303B3" w:rsidRDefault="003303B3" w:rsidP="00B77B81">
      <w:pPr>
        <w:autoSpaceDE w:val="0"/>
        <w:autoSpaceDN w:val="0"/>
        <w:adjustRightInd w:val="0"/>
        <w:spacing w:after="0" w:line="360" w:lineRule="auto"/>
        <w:jc w:val="both"/>
        <w:rPr>
          <w:rFonts w:ascii="Unistra A" w:hAnsi="Unistra A"/>
          <w:sz w:val="24"/>
          <w:szCs w:val="24"/>
        </w:rPr>
      </w:pPr>
      <w:r>
        <w:rPr>
          <w:rFonts w:ascii="Unistra A" w:hAnsi="Unistra A"/>
          <w:sz w:val="24"/>
          <w:szCs w:val="24"/>
        </w:rPr>
        <w:t xml:space="preserve">En outre, le rapport </w:t>
      </w:r>
      <w:r w:rsidR="00BC1ADA">
        <w:rPr>
          <w:rFonts w:ascii="Unistra A" w:hAnsi="Unistra A"/>
          <w:sz w:val="24"/>
          <w:szCs w:val="24"/>
        </w:rPr>
        <w:t xml:space="preserve">préconise une </w:t>
      </w:r>
      <w:r w:rsidR="00BC1ADA" w:rsidRPr="00BC1ADA">
        <w:rPr>
          <w:rFonts w:ascii="Unistra A" w:hAnsi="Unistra A"/>
          <w:b/>
          <w:sz w:val="24"/>
          <w:szCs w:val="24"/>
          <w:u w:val="single"/>
        </w:rPr>
        <w:t>grande vigilance à l’égard du</w:t>
      </w:r>
      <w:r w:rsidR="002F42C2" w:rsidRPr="00BC1ADA">
        <w:rPr>
          <w:rFonts w:ascii="Unistra A" w:hAnsi="Unistra A"/>
          <w:b/>
          <w:sz w:val="24"/>
          <w:szCs w:val="24"/>
          <w:u w:val="single"/>
        </w:rPr>
        <w:t xml:space="preserve"> télétravail informel ou </w:t>
      </w:r>
      <w:r w:rsidR="002F42C2" w:rsidRPr="00BC1ADA">
        <w:rPr>
          <w:rFonts w:ascii="Unistra A" w:hAnsi="Unistra A"/>
          <w:b/>
          <w:i/>
          <w:sz w:val="24"/>
          <w:szCs w:val="24"/>
          <w:u w:val="single"/>
        </w:rPr>
        <w:t>« télétravail gris »</w:t>
      </w:r>
      <w:r w:rsidR="00BC1ADA" w:rsidRPr="00BC1ADA">
        <w:rPr>
          <w:rFonts w:ascii="Unistra A" w:hAnsi="Unistra A"/>
          <w:b/>
          <w:i/>
          <w:sz w:val="24"/>
          <w:szCs w:val="24"/>
          <w:u w:val="single"/>
        </w:rPr>
        <w:t>,</w:t>
      </w:r>
      <w:r w:rsidR="00BC1ADA">
        <w:rPr>
          <w:rFonts w:ascii="Unistra A" w:hAnsi="Unistra A"/>
          <w:i/>
          <w:sz w:val="24"/>
          <w:szCs w:val="24"/>
        </w:rPr>
        <w:t xml:space="preserve"> </w:t>
      </w:r>
      <w:r w:rsidR="00BC1ADA" w:rsidRPr="00BC1ADA">
        <w:rPr>
          <w:rFonts w:ascii="Unistra A" w:hAnsi="Unistra A"/>
          <w:sz w:val="24"/>
          <w:szCs w:val="24"/>
        </w:rPr>
        <w:t>c’est-à-dire celui qui n’est ni prévu par un accord collectif, ni régit par un avenant au contrat de travail.</w:t>
      </w:r>
      <w:r w:rsidR="00BC1ADA">
        <w:rPr>
          <w:rFonts w:ascii="Unistra A" w:hAnsi="Unistra A"/>
          <w:sz w:val="24"/>
          <w:szCs w:val="24"/>
        </w:rPr>
        <w:t xml:space="preserve"> Cette pratique se retrouve dans certaines entreprises, notamment en cas de recours occasionnel au télétravail.  Or force est de constater </w:t>
      </w:r>
      <w:r w:rsidR="00BC1ADA" w:rsidRPr="00FB2454">
        <w:rPr>
          <w:rFonts w:ascii="Unistra A" w:hAnsi="Unistra A"/>
          <w:i/>
          <w:sz w:val="24"/>
          <w:szCs w:val="24"/>
        </w:rPr>
        <w:t xml:space="preserve">que « cette mise en œuvre officieuse du télétravail peut présenter des risques, tant pour les télétravailleurs que pour l’entreprise même. Citons (…) le risque d’arbitraire étant accordé au cas par cas, le risque pour le salarié de se voir reprocher une absence injustifiée si l’autorisation de rester chez soi a été accordée à l’oral (…) mais aussi le risque d’isolement du salarié dans l’hypothèse d’un recours excessif au télétravail, la difficulté dans la reconnaissance d’un accident du travail, ou enfin le risque pour le salarié de se voir reprocher </w:t>
      </w:r>
      <w:r w:rsidR="004E241A" w:rsidRPr="00FB2454">
        <w:rPr>
          <w:rFonts w:ascii="Unistra A" w:hAnsi="Unistra A"/>
          <w:i/>
          <w:sz w:val="24"/>
          <w:szCs w:val="24"/>
        </w:rPr>
        <w:t>une mise en danger du système informatique de l’entreprise »</w:t>
      </w:r>
      <w:r w:rsidR="004E241A">
        <w:rPr>
          <w:rFonts w:ascii="Unistra A" w:hAnsi="Unistra A"/>
          <w:sz w:val="24"/>
          <w:szCs w:val="24"/>
        </w:rPr>
        <w:t>.</w:t>
      </w:r>
    </w:p>
    <w:p w:rsidR="00C52BA5" w:rsidRDefault="00C52BA5" w:rsidP="00B77B81">
      <w:pPr>
        <w:autoSpaceDE w:val="0"/>
        <w:autoSpaceDN w:val="0"/>
        <w:adjustRightInd w:val="0"/>
        <w:spacing w:after="0" w:line="360" w:lineRule="auto"/>
        <w:jc w:val="both"/>
        <w:rPr>
          <w:rFonts w:ascii="Unistra A" w:hAnsi="Unistra A"/>
          <w:sz w:val="24"/>
          <w:szCs w:val="24"/>
        </w:rPr>
      </w:pPr>
    </w:p>
    <w:p w:rsidR="004D5289" w:rsidRDefault="00C52BA5" w:rsidP="00FB2454">
      <w:pPr>
        <w:autoSpaceDE w:val="0"/>
        <w:autoSpaceDN w:val="0"/>
        <w:adjustRightInd w:val="0"/>
        <w:spacing w:after="0" w:line="360" w:lineRule="auto"/>
        <w:jc w:val="both"/>
        <w:rPr>
          <w:rFonts w:ascii="Unistra A" w:hAnsi="Unistra A" w:cs="CenturyGothic"/>
          <w:i/>
          <w:sz w:val="24"/>
          <w:szCs w:val="24"/>
        </w:rPr>
      </w:pPr>
      <w:r w:rsidRPr="00FB2454">
        <w:rPr>
          <w:rFonts w:ascii="Unistra A" w:hAnsi="Unistra A"/>
          <w:sz w:val="24"/>
          <w:szCs w:val="24"/>
        </w:rPr>
        <w:t xml:space="preserve">Par ailleurs, outre l’incitation à une réflexion sur l’organisation et le temps de travail (le droit à la déconnexion, le décompte du temps de travail et l’appréciation de la charge de travail), le rapport énonce certaines préconisations relatives à la </w:t>
      </w:r>
      <w:r w:rsidRPr="00FB2454">
        <w:rPr>
          <w:rFonts w:ascii="Unistra A" w:hAnsi="Unistra A"/>
          <w:b/>
          <w:sz w:val="24"/>
          <w:szCs w:val="24"/>
          <w:u w:val="single"/>
        </w:rPr>
        <w:t>protection des données</w:t>
      </w:r>
      <w:r w:rsidRPr="00FB2454">
        <w:rPr>
          <w:rFonts w:ascii="Unistra A" w:hAnsi="Unistra A"/>
          <w:sz w:val="24"/>
          <w:szCs w:val="24"/>
        </w:rPr>
        <w:t xml:space="preserve"> personnelles dans le cadre du recours au télétravail, ainsi que la protection des données informatiques de l’entreprise. Il serait donc pertinent de recourir aux services du Directeurs des services informatiques avant la mise en place du télétravail</w:t>
      </w:r>
      <w:r w:rsidR="00FB2454" w:rsidRPr="00FB2454">
        <w:rPr>
          <w:rFonts w:ascii="Unistra A" w:hAnsi="Unistra A"/>
          <w:sz w:val="24"/>
          <w:szCs w:val="24"/>
        </w:rPr>
        <w:t xml:space="preserve">. Il s’agira de de prévoir des mesures relatives  à </w:t>
      </w:r>
      <w:r w:rsidR="00FB2454" w:rsidRPr="00FB2454">
        <w:rPr>
          <w:rFonts w:ascii="Unistra A" w:hAnsi="Unistra A"/>
          <w:i/>
          <w:sz w:val="24"/>
          <w:szCs w:val="24"/>
        </w:rPr>
        <w:t>« </w:t>
      </w:r>
      <w:r w:rsidR="00FB2454" w:rsidRPr="00FB2454">
        <w:rPr>
          <w:rFonts w:ascii="Unistra A" w:hAnsi="Unistra A" w:cs="CenturyGothic"/>
          <w:i/>
          <w:sz w:val="24"/>
          <w:szCs w:val="24"/>
        </w:rPr>
        <w:t xml:space="preserve">la confidentialité des informations, la </w:t>
      </w:r>
    </w:p>
    <w:p w:rsidR="004D5289" w:rsidRDefault="004D5289" w:rsidP="00FB2454">
      <w:pPr>
        <w:autoSpaceDE w:val="0"/>
        <w:autoSpaceDN w:val="0"/>
        <w:adjustRightInd w:val="0"/>
        <w:spacing w:after="0" w:line="360" w:lineRule="auto"/>
        <w:jc w:val="both"/>
        <w:rPr>
          <w:rFonts w:ascii="Unistra A" w:hAnsi="Unistra A" w:cs="CenturyGothic"/>
          <w:i/>
          <w:sz w:val="24"/>
          <w:szCs w:val="24"/>
        </w:rPr>
      </w:pPr>
    </w:p>
    <w:p w:rsidR="004D5289" w:rsidRDefault="004D5289" w:rsidP="00FB2454">
      <w:pPr>
        <w:autoSpaceDE w:val="0"/>
        <w:autoSpaceDN w:val="0"/>
        <w:adjustRightInd w:val="0"/>
        <w:spacing w:after="0" w:line="360" w:lineRule="auto"/>
        <w:jc w:val="both"/>
        <w:rPr>
          <w:rFonts w:ascii="Unistra A" w:hAnsi="Unistra A" w:cs="CenturyGothic"/>
          <w:i/>
          <w:sz w:val="24"/>
          <w:szCs w:val="24"/>
        </w:rPr>
      </w:pPr>
    </w:p>
    <w:p w:rsidR="004D5289" w:rsidRDefault="004D5289" w:rsidP="00FB2454">
      <w:pPr>
        <w:autoSpaceDE w:val="0"/>
        <w:autoSpaceDN w:val="0"/>
        <w:adjustRightInd w:val="0"/>
        <w:spacing w:after="0" w:line="360" w:lineRule="auto"/>
        <w:jc w:val="both"/>
        <w:rPr>
          <w:rFonts w:ascii="Unistra A" w:hAnsi="Unistra A" w:cs="CenturyGothic"/>
          <w:i/>
          <w:sz w:val="24"/>
          <w:szCs w:val="24"/>
        </w:rPr>
      </w:pPr>
    </w:p>
    <w:p w:rsidR="004D5289" w:rsidRDefault="004D5289" w:rsidP="00FB2454">
      <w:pPr>
        <w:autoSpaceDE w:val="0"/>
        <w:autoSpaceDN w:val="0"/>
        <w:adjustRightInd w:val="0"/>
        <w:spacing w:after="0" w:line="360" w:lineRule="auto"/>
        <w:jc w:val="both"/>
        <w:rPr>
          <w:rFonts w:ascii="Unistra A" w:hAnsi="Unistra A" w:cs="CenturyGothic"/>
          <w:i/>
          <w:sz w:val="24"/>
          <w:szCs w:val="24"/>
        </w:rPr>
      </w:pPr>
    </w:p>
    <w:p w:rsidR="00FB2454" w:rsidRDefault="00FB2454" w:rsidP="00FB2454">
      <w:pPr>
        <w:autoSpaceDE w:val="0"/>
        <w:autoSpaceDN w:val="0"/>
        <w:adjustRightInd w:val="0"/>
        <w:spacing w:after="0" w:line="360" w:lineRule="auto"/>
        <w:jc w:val="both"/>
        <w:rPr>
          <w:rFonts w:ascii="Unistra A" w:hAnsi="Unistra A" w:cs="CenturyGothic"/>
          <w:sz w:val="24"/>
          <w:szCs w:val="24"/>
        </w:rPr>
      </w:pPr>
      <w:proofErr w:type="gramStart"/>
      <w:r w:rsidRPr="00FB2454">
        <w:rPr>
          <w:rFonts w:ascii="Unistra A" w:hAnsi="Unistra A" w:cs="CenturyGothic"/>
          <w:i/>
          <w:sz w:val="24"/>
          <w:szCs w:val="24"/>
        </w:rPr>
        <w:t>protection</w:t>
      </w:r>
      <w:proofErr w:type="gramEnd"/>
      <w:r w:rsidRPr="00FB2454">
        <w:rPr>
          <w:rFonts w:ascii="Unistra A" w:hAnsi="Unistra A" w:cs="CenturyGothic"/>
          <w:i/>
          <w:sz w:val="24"/>
          <w:szCs w:val="24"/>
        </w:rPr>
        <w:t xml:space="preserve"> des données de l’entreprise, ou encore les potentiels risques d’intrusion au domicile du salarié, la nature des sanctions applicables en cas de non-respect des règles de sécurité informatique</w:t>
      </w:r>
      <w:r w:rsidRPr="00FB2454">
        <w:rPr>
          <w:rStyle w:val="Appelnotedebasdep"/>
          <w:rFonts w:ascii="Unistra A" w:hAnsi="Unistra A" w:cs="CenturyGothic"/>
          <w:i/>
          <w:sz w:val="24"/>
          <w:szCs w:val="24"/>
        </w:rPr>
        <w:footnoteReference w:id="7"/>
      </w:r>
      <w:r w:rsidRPr="00FB2454">
        <w:rPr>
          <w:rFonts w:ascii="Unistra A" w:hAnsi="Unistra A" w:cs="CenturyGothic"/>
          <w:i/>
          <w:sz w:val="24"/>
          <w:szCs w:val="24"/>
        </w:rPr>
        <w:t> »</w:t>
      </w:r>
      <w:r>
        <w:rPr>
          <w:rFonts w:ascii="Unistra A" w:hAnsi="Unistra A" w:cs="CenturyGothic"/>
          <w:sz w:val="24"/>
          <w:szCs w:val="24"/>
        </w:rPr>
        <w:t xml:space="preserve">. </w:t>
      </w:r>
    </w:p>
    <w:p w:rsidR="00FB2454" w:rsidRDefault="00FB2454" w:rsidP="00FB2454">
      <w:pPr>
        <w:autoSpaceDE w:val="0"/>
        <w:autoSpaceDN w:val="0"/>
        <w:adjustRightInd w:val="0"/>
        <w:spacing w:after="0" w:line="360" w:lineRule="auto"/>
        <w:jc w:val="both"/>
        <w:rPr>
          <w:rFonts w:ascii="Unistra A" w:hAnsi="Unistra A" w:cs="CenturyGothic"/>
          <w:sz w:val="24"/>
          <w:szCs w:val="24"/>
        </w:rPr>
      </w:pPr>
    </w:p>
    <w:p w:rsidR="00FB2454" w:rsidRDefault="00FB2454" w:rsidP="00244A1E">
      <w:pPr>
        <w:autoSpaceDE w:val="0"/>
        <w:autoSpaceDN w:val="0"/>
        <w:adjustRightInd w:val="0"/>
        <w:spacing w:after="0" w:line="360" w:lineRule="auto"/>
        <w:jc w:val="both"/>
        <w:rPr>
          <w:rFonts w:ascii="Unistra A" w:hAnsi="Unistra A" w:cs="CenturyGothic"/>
          <w:sz w:val="24"/>
          <w:szCs w:val="24"/>
        </w:rPr>
      </w:pPr>
      <w:r w:rsidRPr="00244A1E">
        <w:rPr>
          <w:rFonts w:ascii="Unistra A" w:hAnsi="Unistra A"/>
          <w:sz w:val="24"/>
          <w:szCs w:val="24"/>
        </w:rPr>
        <w:t>Enfin, le rapport soulève également la problématique relevée également dans le rapport METT</w:t>
      </w:r>
      <w:r w:rsidR="004D5289">
        <w:rPr>
          <w:rFonts w:ascii="Unistra A" w:hAnsi="Unistra A"/>
          <w:sz w:val="24"/>
          <w:szCs w:val="24"/>
        </w:rPr>
        <w:t>L</w:t>
      </w:r>
      <w:r w:rsidRPr="00244A1E">
        <w:rPr>
          <w:rFonts w:ascii="Unistra A" w:hAnsi="Unistra A"/>
          <w:sz w:val="24"/>
          <w:szCs w:val="24"/>
        </w:rPr>
        <w:t>ING</w:t>
      </w:r>
      <w:r w:rsidRPr="00244A1E">
        <w:rPr>
          <w:rStyle w:val="Appelnotedebasdep"/>
          <w:rFonts w:ascii="Unistra A" w:hAnsi="Unistra A"/>
          <w:sz w:val="24"/>
          <w:szCs w:val="24"/>
        </w:rPr>
        <w:footnoteReference w:id="8"/>
      </w:r>
      <w:r w:rsidRPr="00244A1E">
        <w:rPr>
          <w:rFonts w:ascii="Unistra A" w:hAnsi="Unistra A"/>
          <w:sz w:val="24"/>
          <w:szCs w:val="24"/>
        </w:rPr>
        <w:t xml:space="preserve"> selon lequel il est nécessaire de </w:t>
      </w:r>
      <w:r w:rsidRPr="00244A1E">
        <w:rPr>
          <w:rFonts w:ascii="Unistra A" w:hAnsi="Unistra A"/>
          <w:b/>
          <w:sz w:val="24"/>
          <w:szCs w:val="24"/>
          <w:u w:val="single"/>
        </w:rPr>
        <w:t>repenser les modes de management de proximité</w:t>
      </w:r>
      <w:r w:rsidR="00BE70B2" w:rsidRPr="00244A1E">
        <w:rPr>
          <w:rFonts w:ascii="Unistra A" w:hAnsi="Unistra A"/>
          <w:b/>
          <w:sz w:val="24"/>
          <w:szCs w:val="24"/>
          <w:u w:val="single"/>
        </w:rPr>
        <w:t xml:space="preserve"> </w:t>
      </w:r>
      <w:r w:rsidR="00BE70B2" w:rsidRPr="00244A1E">
        <w:rPr>
          <w:rFonts w:ascii="Unistra A" w:hAnsi="Unistra A"/>
          <w:sz w:val="24"/>
          <w:szCs w:val="24"/>
        </w:rPr>
        <w:t>en ce sens que la gestion des collaborateurs à distance (que ce soit le collaborateur ou le manager qui est en télétravail) entraine un management particulier</w:t>
      </w:r>
      <w:r w:rsidRPr="00244A1E">
        <w:rPr>
          <w:rFonts w:ascii="Unistra A" w:hAnsi="Unistra A"/>
          <w:sz w:val="24"/>
          <w:szCs w:val="24"/>
        </w:rPr>
        <w:t>. Le rapport reprend in extenso les observations du rapport METTLING selon lequel « </w:t>
      </w:r>
      <w:r w:rsidRPr="00244A1E">
        <w:rPr>
          <w:rFonts w:ascii="Unistra A" w:hAnsi="Unistra A" w:cs="CenturyGothic"/>
          <w:sz w:val="24"/>
          <w:szCs w:val="24"/>
        </w:rPr>
        <w:t xml:space="preserve">« </w:t>
      </w:r>
      <w:r w:rsidRPr="00244A1E">
        <w:rPr>
          <w:rFonts w:ascii="Unistra A" w:hAnsi="Unistra A" w:cs="CenturyGothic,Italic"/>
          <w:i/>
          <w:iCs/>
          <w:sz w:val="24"/>
          <w:szCs w:val="24"/>
        </w:rPr>
        <w:t xml:space="preserve">la transformation numérique complexifie encore les modes de management et remet en cause les conditions d’exercice et les compétences du manager. Le manager de proximité doit résoudre l’injonction contradictoire entre autonomie et contrôle, un fonctionnement d’entreprise parfois résolument collaboratif, un nombre croissant de salariés ou managers en travail à distance. Il doit gérer une diversité croissante de ressources internes et externes </w:t>
      </w:r>
      <w:r w:rsidRPr="00244A1E">
        <w:rPr>
          <w:rFonts w:ascii="Unistra A" w:hAnsi="Unistra A" w:cs="CenturyGothic"/>
          <w:sz w:val="24"/>
          <w:szCs w:val="24"/>
        </w:rPr>
        <w:t>».</w:t>
      </w:r>
      <w:r w:rsidR="00BE70B2" w:rsidRPr="00244A1E">
        <w:rPr>
          <w:rFonts w:ascii="Unistra A" w:hAnsi="Unistra A" w:cs="CenturyGothic"/>
          <w:sz w:val="24"/>
          <w:szCs w:val="24"/>
        </w:rPr>
        <w:t xml:space="preserve"> </w:t>
      </w:r>
      <w:r w:rsidR="006E75C7" w:rsidRPr="00244A1E">
        <w:rPr>
          <w:rFonts w:ascii="Unistra A" w:hAnsi="Unistra A" w:cs="CenturyGothic"/>
          <w:sz w:val="24"/>
          <w:szCs w:val="24"/>
        </w:rPr>
        <w:t xml:space="preserve"> Sur cette thématique le rapport de concertation des partenaires sociaux recommande une attention particulière qu’il faudra apporter</w:t>
      </w:r>
      <w:r w:rsidR="00244A1E" w:rsidRPr="00244A1E">
        <w:rPr>
          <w:rFonts w:ascii="Unistra A" w:hAnsi="Unistra A" w:cs="CenturyGothic"/>
          <w:sz w:val="24"/>
          <w:szCs w:val="24"/>
        </w:rPr>
        <w:t xml:space="preserve"> quant au fait </w:t>
      </w:r>
      <w:r w:rsidR="00244A1E" w:rsidRPr="00244A1E">
        <w:rPr>
          <w:rFonts w:ascii="Unistra A" w:hAnsi="Unistra A" w:cs="CenturyGothic"/>
          <w:i/>
          <w:sz w:val="24"/>
          <w:szCs w:val="24"/>
        </w:rPr>
        <w:t>de « sensibiliser aux risques auxquels il pourrait exposer ses collaborateurs et l’entreprise. La connaissance de ces risques a également vocation à protéger le manager qui, conscient de ces dangers, saura dans quelle mesure sa responsabilité pourrait être engagée</w:t>
      </w:r>
      <w:r w:rsidR="00244A1E" w:rsidRPr="00244A1E">
        <w:rPr>
          <w:rStyle w:val="Appelnotedebasdep"/>
          <w:rFonts w:ascii="Unistra A" w:hAnsi="Unistra A" w:cs="CenturyGothic"/>
          <w:i/>
          <w:sz w:val="24"/>
          <w:szCs w:val="24"/>
        </w:rPr>
        <w:footnoteReference w:id="9"/>
      </w:r>
      <w:r w:rsidR="00244A1E" w:rsidRPr="00244A1E">
        <w:rPr>
          <w:rFonts w:ascii="Unistra A" w:hAnsi="Unistra A" w:cs="CenturyGothic"/>
          <w:i/>
          <w:sz w:val="24"/>
          <w:szCs w:val="24"/>
        </w:rPr>
        <w:t> ».</w:t>
      </w:r>
    </w:p>
    <w:p w:rsidR="00244A1E" w:rsidRDefault="00244A1E" w:rsidP="00244A1E">
      <w:pPr>
        <w:autoSpaceDE w:val="0"/>
        <w:autoSpaceDN w:val="0"/>
        <w:adjustRightInd w:val="0"/>
        <w:spacing w:after="0" w:line="360" w:lineRule="auto"/>
        <w:jc w:val="both"/>
        <w:rPr>
          <w:rFonts w:ascii="Unistra A" w:hAnsi="Unistra A" w:cs="CenturyGothic"/>
          <w:sz w:val="24"/>
          <w:szCs w:val="24"/>
        </w:rPr>
      </w:pPr>
    </w:p>
    <w:p w:rsidR="004E241A" w:rsidRPr="00244A1E" w:rsidRDefault="00244A1E" w:rsidP="00244A1E">
      <w:pPr>
        <w:autoSpaceDE w:val="0"/>
        <w:autoSpaceDN w:val="0"/>
        <w:adjustRightInd w:val="0"/>
        <w:spacing w:after="0" w:line="360" w:lineRule="auto"/>
        <w:jc w:val="both"/>
        <w:rPr>
          <w:rFonts w:ascii="Unistra A" w:hAnsi="Unistra A"/>
          <w:sz w:val="24"/>
          <w:szCs w:val="24"/>
        </w:rPr>
      </w:pPr>
      <w:r>
        <w:rPr>
          <w:rFonts w:ascii="Unistra A" w:hAnsi="Unistra A" w:cs="CenturyGothic"/>
          <w:sz w:val="24"/>
          <w:szCs w:val="24"/>
        </w:rPr>
        <w:t>Ainsi, force est de constater que le rapport conjoint de concertation sur le développement du télétravail et du travail à distan</w:t>
      </w:r>
      <w:r w:rsidR="00511D4D">
        <w:rPr>
          <w:rFonts w:ascii="Unistra A" w:hAnsi="Unistra A" w:cs="CenturyGothic"/>
          <w:sz w:val="24"/>
          <w:szCs w:val="24"/>
        </w:rPr>
        <w:t xml:space="preserve">ce envisage de manière multidirectionnelle le recours au télétravail </w:t>
      </w:r>
      <w:r w:rsidR="00205AB7">
        <w:rPr>
          <w:rFonts w:ascii="Unistra A" w:hAnsi="Unistra A" w:cs="CenturyGothic"/>
          <w:sz w:val="24"/>
          <w:szCs w:val="24"/>
        </w:rPr>
        <w:t xml:space="preserve">en préconisant certaines mesures ou réflexions relativement aux différents enjeux que peuvent impliquer cette nouvelle forme d’exécution du travail. </w:t>
      </w:r>
      <w:r w:rsidR="00457505">
        <w:rPr>
          <w:rFonts w:ascii="Unistra A" w:hAnsi="Unistra A" w:cs="CenturyGothic"/>
          <w:sz w:val="24"/>
          <w:szCs w:val="24"/>
        </w:rPr>
        <w:t>Reste à savoir dans quelle mesure ce rapport sera utilisé par le législateur.</w:t>
      </w:r>
    </w:p>
    <w:p w:rsidR="00E33CD4" w:rsidRDefault="00E33CD4" w:rsidP="00B77B81">
      <w:pPr>
        <w:autoSpaceDE w:val="0"/>
        <w:autoSpaceDN w:val="0"/>
        <w:adjustRightInd w:val="0"/>
        <w:spacing w:after="0" w:line="360" w:lineRule="auto"/>
        <w:jc w:val="both"/>
        <w:rPr>
          <w:rFonts w:ascii="Unistra A" w:hAnsi="Unistra A"/>
          <w:sz w:val="24"/>
          <w:szCs w:val="24"/>
        </w:rPr>
      </w:pPr>
    </w:p>
    <w:p w:rsidR="00E33CD4" w:rsidRDefault="00E33CD4" w:rsidP="00B77B81">
      <w:pPr>
        <w:autoSpaceDE w:val="0"/>
        <w:autoSpaceDN w:val="0"/>
        <w:adjustRightInd w:val="0"/>
        <w:spacing w:after="0" w:line="360" w:lineRule="auto"/>
        <w:jc w:val="both"/>
        <w:rPr>
          <w:rFonts w:ascii="Unistra A" w:hAnsi="Unistra A"/>
          <w:sz w:val="24"/>
          <w:szCs w:val="24"/>
        </w:rPr>
      </w:pPr>
    </w:p>
    <w:p w:rsidR="00E33CD4" w:rsidRPr="009A73D6" w:rsidRDefault="00E33CD4" w:rsidP="00B77B81">
      <w:pPr>
        <w:autoSpaceDE w:val="0"/>
        <w:autoSpaceDN w:val="0"/>
        <w:adjustRightInd w:val="0"/>
        <w:spacing w:after="0" w:line="360" w:lineRule="auto"/>
        <w:jc w:val="both"/>
        <w:rPr>
          <w:rFonts w:ascii="Unistra A" w:hAnsi="Unistra A"/>
          <w:sz w:val="24"/>
          <w:szCs w:val="24"/>
        </w:rPr>
      </w:pPr>
    </w:p>
    <w:p w:rsidR="00EE305E" w:rsidRPr="00EE305E" w:rsidRDefault="00EE305E" w:rsidP="00EE305E">
      <w:pPr>
        <w:autoSpaceDE w:val="0"/>
        <w:autoSpaceDN w:val="0"/>
        <w:adjustRightInd w:val="0"/>
        <w:spacing w:after="0" w:line="360" w:lineRule="auto"/>
        <w:jc w:val="both"/>
        <w:rPr>
          <w:rFonts w:ascii="Unistra A" w:hAnsi="Unistra A"/>
          <w:sz w:val="24"/>
          <w:szCs w:val="24"/>
        </w:rPr>
      </w:pPr>
    </w:p>
    <w:p w:rsidR="001144E3" w:rsidRPr="00D32C56" w:rsidRDefault="001144E3" w:rsidP="00367ADA">
      <w:pPr>
        <w:spacing w:line="360" w:lineRule="auto"/>
        <w:jc w:val="both"/>
        <w:rPr>
          <w:rFonts w:ascii="Unistra A" w:hAnsi="Unistra A"/>
          <w:sz w:val="24"/>
          <w:szCs w:val="24"/>
        </w:rPr>
      </w:pPr>
    </w:p>
    <w:sectPr w:rsidR="001144E3" w:rsidRPr="00D32C56" w:rsidSect="00DB0584">
      <w:headerReference w:type="default" r:id="rId10"/>
      <w:footerReference w:type="default" r:id="rId11"/>
      <w:pgSz w:w="11906" w:h="16838"/>
      <w:pgMar w:top="1417" w:right="566" w:bottom="1417" w:left="567" w:header="708"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CE" w:rsidRDefault="00C346CE" w:rsidP="00854E47">
      <w:pPr>
        <w:spacing w:after="0" w:line="240" w:lineRule="auto"/>
      </w:pPr>
      <w:r>
        <w:separator/>
      </w:r>
    </w:p>
  </w:endnote>
  <w:endnote w:type="continuationSeparator" w:id="0">
    <w:p w:rsidR="00C346CE" w:rsidRDefault="00C346CE" w:rsidP="0085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stra A">
    <w:panose1 w:val="02000503030000020000"/>
    <w:charset w:val="00"/>
    <w:family w:val="auto"/>
    <w:pitch w:val="variable"/>
    <w:sig w:usb0="A00000AF" w:usb1="5000606B" w:usb2="00000000" w:usb3="00000000" w:csb0="00000093"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032900"/>
      <w:docPartObj>
        <w:docPartGallery w:val="Page Numbers (Bottom of Page)"/>
        <w:docPartUnique/>
      </w:docPartObj>
    </w:sdtPr>
    <w:sdtEndPr/>
    <w:sdtContent>
      <w:p w:rsidR="00DF0A38" w:rsidRDefault="00DF0A38">
        <w:pPr>
          <w:pStyle w:val="Pieddepage"/>
          <w:jc w:val="right"/>
        </w:pPr>
        <w:r>
          <w:fldChar w:fldCharType="begin"/>
        </w:r>
        <w:r>
          <w:instrText>PAGE   \* MERGEFORMAT</w:instrText>
        </w:r>
        <w:r>
          <w:fldChar w:fldCharType="separate"/>
        </w:r>
        <w:r w:rsidR="003C6452">
          <w:rPr>
            <w:noProof/>
          </w:rPr>
          <w:t>3</w:t>
        </w:r>
        <w:r>
          <w:fldChar w:fldCharType="end"/>
        </w:r>
      </w:p>
    </w:sdtContent>
  </w:sdt>
  <w:p w:rsidR="00C346CE" w:rsidRDefault="00C346CE" w:rsidP="00DB0584">
    <w:pPr>
      <w:pStyle w:val="Pieddepage"/>
      <w:ind w:left="-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CE" w:rsidRDefault="00C346CE" w:rsidP="00854E47">
      <w:pPr>
        <w:spacing w:after="0" w:line="240" w:lineRule="auto"/>
      </w:pPr>
      <w:r>
        <w:separator/>
      </w:r>
    </w:p>
  </w:footnote>
  <w:footnote w:type="continuationSeparator" w:id="0">
    <w:p w:rsidR="00C346CE" w:rsidRDefault="00C346CE" w:rsidP="00854E47">
      <w:pPr>
        <w:spacing w:after="0" w:line="240" w:lineRule="auto"/>
      </w:pPr>
      <w:r>
        <w:continuationSeparator/>
      </w:r>
    </w:p>
  </w:footnote>
  <w:footnote w:id="1">
    <w:p w:rsidR="00D32C56" w:rsidRPr="00D32C56" w:rsidRDefault="00367ADA" w:rsidP="00D32C56">
      <w:pPr>
        <w:pStyle w:val="Notedebasdepage"/>
        <w:jc w:val="both"/>
        <w:rPr>
          <w:rFonts w:ascii="Unistra A" w:hAnsi="Unistra A"/>
          <w:sz w:val="22"/>
          <w:szCs w:val="22"/>
        </w:rPr>
      </w:pPr>
      <w:r w:rsidRPr="00D32C56">
        <w:rPr>
          <w:rStyle w:val="Appelnotedebasdep"/>
          <w:rFonts w:ascii="Unistra A" w:hAnsi="Unistra A"/>
          <w:sz w:val="22"/>
          <w:szCs w:val="22"/>
        </w:rPr>
        <w:footnoteRef/>
      </w:r>
      <w:r w:rsidRPr="00D32C56">
        <w:rPr>
          <w:rFonts w:ascii="Unistra A" w:hAnsi="Unistra A"/>
          <w:sz w:val="22"/>
          <w:szCs w:val="22"/>
        </w:rPr>
        <w:t xml:space="preserve"> « Cette concertation s'appuie sur un large état des lieux faisant apparaître :</w:t>
      </w:r>
    </w:p>
    <w:p w:rsidR="00D32C56" w:rsidRPr="00D32C56" w:rsidRDefault="00367ADA" w:rsidP="00D32C56">
      <w:pPr>
        <w:pStyle w:val="Notedebasdepage"/>
        <w:jc w:val="both"/>
        <w:rPr>
          <w:rFonts w:ascii="Unistra A" w:hAnsi="Unistra A"/>
          <w:sz w:val="22"/>
          <w:szCs w:val="22"/>
        </w:rPr>
      </w:pPr>
      <w:r w:rsidRPr="00D32C56">
        <w:rPr>
          <w:rFonts w:ascii="Unistra A" w:hAnsi="Unistra A"/>
          <w:sz w:val="22"/>
          <w:szCs w:val="22"/>
        </w:rPr>
        <w:t>1° Le taux de télétravail par branche selon la famille professionnelle et le sexe ;</w:t>
      </w:r>
    </w:p>
    <w:p w:rsidR="00D32C56" w:rsidRPr="00D32C56" w:rsidRDefault="00367ADA" w:rsidP="00D32C56">
      <w:pPr>
        <w:pStyle w:val="Notedebasdepage"/>
        <w:jc w:val="both"/>
        <w:rPr>
          <w:rFonts w:ascii="Unistra A" w:hAnsi="Unistra A"/>
          <w:sz w:val="22"/>
          <w:szCs w:val="22"/>
        </w:rPr>
      </w:pPr>
      <w:r w:rsidRPr="00D32C56">
        <w:rPr>
          <w:rFonts w:ascii="Unistra A" w:hAnsi="Unistra A"/>
          <w:sz w:val="22"/>
          <w:szCs w:val="22"/>
        </w:rPr>
        <w:t>2° La liste des métiers, par branche professionnelle, potentiellement éligibles au télétravail.</w:t>
      </w:r>
    </w:p>
    <w:p w:rsidR="00D32C56" w:rsidRPr="00D32C56" w:rsidRDefault="00367ADA" w:rsidP="00D32C56">
      <w:pPr>
        <w:pStyle w:val="Notedebasdepage"/>
        <w:jc w:val="both"/>
        <w:rPr>
          <w:rFonts w:ascii="Unistra A" w:hAnsi="Unistra A"/>
          <w:sz w:val="22"/>
          <w:szCs w:val="22"/>
        </w:rPr>
      </w:pPr>
      <w:r w:rsidRPr="00D32C56">
        <w:rPr>
          <w:rFonts w:ascii="Unistra A" w:hAnsi="Unistra A"/>
          <w:sz w:val="22"/>
          <w:szCs w:val="22"/>
        </w:rPr>
        <w:t>Cette concertation porte également sur l'évaluation de la charge de travail des salariés en forfait en jours, sur la prise en compte des pratiques liées aux outils numériques permettant de mieux articuler la vie personnelle et la vie professionnelle, ainsi que sur l'opportunité et, le cas échéant, les modalités du fractionnement du repos quotidien ou hebdomadaire de ces salariés.</w:t>
      </w:r>
      <w:r w:rsidRPr="00D32C56">
        <w:rPr>
          <w:rFonts w:ascii="Unistra A" w:hAnsi="Unistra A"/>
          <w:sz w:val="22"/>
          <w:szCs w:val="22"/>
        </w:rPr>
        <w:br/>
        <w:t>A l'issue de la concertation, un guide des bonnes pratiques est élaboré et sert de document de référence lors de la négociation d'une convention ou d'un accord d'entreprise.</w:t>
      </w:r>
    </w:p>
    <w:p w:rsidR="00367ADA" w:rsidRDefault="00367ADA" w:rsidP="00D32C56">
      <w:pPr>
        <w:pStyle w:val="Notedebasdepage"/>
        <w:jc w:val="both"/>
        <w:rPr>
          <w:rFonts w:ascii="Unistra A" w:hAnsi="Unistra A"/>
          <w:sz w:val="22"/>
          <w:szCs w:val="22"/>
        </w:rPr>
      </w:pPr>
      <w:r w:rsidRPr="00D32C56">
        <w:rPr>
          <w:rFonts w:ascii="Unistra A" w:hAnsi="Unistra A"/>
          <w:sz w:val="22"/>
          <w:szCs w:val="22"/>
        </w:rPr>
        <w:t>II. - Avant le 1er décembre 2016, le Gouvernement remet au Parlement un rapport sur l'adaptation juridique des notions de lieu, de charge et de temps de travail liée à l'utilisation des outils numériques ».</w:t>
      </w:r>
    </w:p>
    <w:p w:rsidR="002C4EA2" w:rsidRDefault="002C4EA2" w:rsidP="00D32C56">
      <w:pPr>
        <w:pStyle w:val="Notedebasdepage"/>
        <w:jc w:val="both"/>
      </w:pPr>
    </w:p>
  </w:footnote>
  <w:footnote w:id="2">
    <w:p w:rsidR="002C4EA2" w:rsidRDefault="002C4EA2">
      <w:pPr>
        <w:pStyle w:val="Notedebasdepage"/>
      </w:pPr>
      <w:r>
        <w:rPr>
          <w:rStyle w:val="Appelnotedebasdep"/>
        </w:rPr>
        <w:footnoteRef/>
      </w:r>
      <w:r>
        <w:t xml:space="preserve"> </w:t>
      </w:r>
      <w:r w:rsidR="007D2F43">
        <w:t xml:space="preserve">Accord-cadre européen du 16 juillet 2002 ; Accord National interprofessionnel du 19 juillet 2005 ; Loi </w:t>
      </w:r>
      <w:proofErr w:type="spellStart"/>
      <w:r w:rsidR="007D2F43">
        <w:t>Warsmann</w:t>
      </w:r>
      <w:proofErr w:type="spellEnd"/>
      <w:r w:rsidR="007D2F43">
        <w:t xml:space="preserve"> du n°2012-387 du 22 mars 2012 art.L1222-9 à L.1222-11 du code du travail.</w:t>
      </w:r>
    </w:p>
  </w:footnote>
  <w:footnote w:id="3">
    <w:p w:rsidR="00DF0A38" w:rsidRDefault="00DF0A38">
      <w:pPr>
        <w:pStyle w:val="Notedebasdepage"/>
      </w:pPr>
      <w:r>
        <w:rPr>
          <w:rStyle w:val="Appelnotedebasdep"/>
        </w:rPr>
        <w:footnoteRef/>
      </w:r>
      <w:r>
        <w:t xml:space="preserve"> 80 accords collectifs sont recensés depuis 2005.</w:t>
      </w:r>
    </w:p>
  </w:footnote>
  <w:footnote w:id="4">
    <w:p w:rsidR="0020639C" w:rsidRDefault="0020639C">
      <w:pPr>
        <w:pStyle w:val="Notedebasdepage"/>
      </w:pPr>
      <w:r>
        <w:rPr>
          <w:rStyle w:val="Appelnotedebasdep"/>
        </w:rPr>
        <w:footnoteRef/>
      </w:r>
      <w:r>
        <w:t xml:space="preserve"> Rappelons que l’ensemble du matériel informatique est pris en charge ou fourni  par l’employeur.</w:t>
      </w:r>
    </w:p>
  </w:footnote>
  <w:footnote w:id="5">
    <w:p w:rsidR="00E33CD4" w:rsidRDefault="00E33CD4">
      <w:pPr>
        <w:pStyle w:val="Notedebasdepage"/>
      </w:pPr>
      <w:r>
        <w:rPr>
          <w:rStyle w:val="Appelnotedebasdep"/>
        </w:rPr>
        <w:footnoteRef/>
      </w:r>
      <w:r>
        <w:t xml:space="preserve"> Rapport p.35.</w:t>
      </w:r>
    </w:p>
    <w:p w:rsidR="00E33CD4" w:rsidRDefault="00E33CD4">
      <w:pPr>
        <w:pStyle w:val="Notedebasdepage"/>
      </w:pPr>
    </w:p>
  </w:footnote>
  <w:footnote w:id="6">
    <w:p w:rsidR="00E33CD4" w:rsidRDefault="00E33CD4">
      <w:pPr>
        <w:pStyle w:val="Notedebasdepage"/>
      </w:pPr>
      <w:r>
        <w:rPr>
          <w:rStyle w:val="Appelnotedebasdep"/>
        </w:rPr>
        <w:footnoteRef/>
      </w:r>
      <w:r>
        <w:t xml:space="preserve"> Rapport p. 34. </w:t>
      </w:r>
      <w:r w:rsidR="003405D1">
        <w:t xml:space="preserve">Les hypothèses de </w:t>
      </w:r>
      <w:proofErr w:type="spellStart"/>
      <w:r w:rsidR="003405D1">
        <w:t>coworking</w:t>
      </w:r>
      <w:proofErr w:type="spellEnd"/>
      <w:r w:rsidR="003405D1">
        <w:t xml:space="preserve"> et bureau satellites sont ici visés.</w:t>
      </w:r>
    </w:p>
    <w:p w:rsidR="00FB2454" w:rsidRDefault="00FB2454">
      <w:pPr>
        <w:pStyle w:val="Notedebasdepage"/>
      </w:pPr>
    </w:p>
  </w:footnote>
  <w:footnote w:id="7">
    <w:p w:rsidR="00FB2454" w:rsidRDefault="00FB2454">
      <w:pPr>
        <w:pStyle w:val="Notedebasdepage"/>
      </w:pPr>
      <w:r>
        <w:rPr>
          <w:rStyle w:val="Appelnotedebasdep"/>
        </w:rPr>
        <w:footnoteRef/>
      </w:r>
      <w:r>
        <w:t xml:space="preserve"> Rapport p.38.</w:t>
      </w:r>
    </w:p>
    <w:p w:rsidR="00FB2454" w:rsidRDefault="00FB2454">
      <w:pPr>
        <w:pStyle w:val="Notedebasdepage"/>
      </w:pPr>
    </w:p>
  </w:footnote>
  <w:footnote w:id="8">
    <w:p w:rsidR="00FB2454" w:rsidRDefault="00FB2454">
      <w:pPr>
        <w:pStyle w:val="Notedebasdepage"/>
      </w:pPr>
      <w:r>
        <w:rPr>
          <w:rStyle w:val="Appelnotedebasdep"/>
        </w:rPr>
        <w:footnoteRef/>
      </w:r>
      <w:r>
        <w:t xml:space="preserve"> </w:t>
      </w:r>
      <w:r w:rsidR="00BA1777">
        <w:t xml:space="preserve">Le rapport </w:t>
      </w:r>
      <w:r w:rsidR="00BA1777" w:rsidRPr="00BA1777">
        <w:rPr>
          <w:i/>
        </w:rPr>
        <w:t>« transformation numérique et vie au travail »</w:t>
      </w:r>
      <w:r w:rsidR="00BA1777">
        <w:t xml:space="preserve"> a été établi par Bruno METTLING à la demande de Madame EL KHOMRI, ministre du travail, de l’emploi, de la formation professionnelle et du dialogue social et remis en septembre 2015.</w:t>
      </w:r>
    </w:p>
    <w:p w:rsidR="00244A1E" w:rsidRDefault="00244A1E">
      <w:pPr>
        <w:pStyle w:val="Notedebasdepage"/>
      </w:pPr>
    </w:p>
  </w:footnote>
  <w:footnote w:id="9">
    <w:p w:rsidR="00244A1E" w:rsidRDefault="00244A1E">
      <w:pPr>
        <w:pStyle w:val="Notedebasdepage"/>
      </w:pPr>
      <w:r>
        <w:rPr>
          <w:rStyle w:val="Appelnotedebasdep"/>
        </w:rPr>
        <w:footnoteRef/>
      </w:r>
      <w:r>
        <w:t xml:space="preserve"> Rapport p.39.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CE" w:rsidRDefault="00C346CE">
    <w:pPr>
      <w:pStyle w:val="En-tte"/>
    </w:pPr>
    <w:r>
      <w:rPr>
        <w:noProof/>
        <w:lang w:eastAsia="fr-FR"/>
      </w:rPr>
      <w:drawing>
        <wp:anchor distT="0" distB="0" distL="114300" distR="114300" simplePos="0" relativeHeight="251664384" behindDoc="0" locked="0" layoutInCell="1" allowOverlap="1" wp14:anchorId="22984400" wp14:editId="46757051">
          <wp:simplePos x="0" y="0"/>
          <wp:positionH relativeFrom="column">
            <wp:posOffset>3678555</wp:posOffset>
          </wp:positionH>
          <wp:positionV relativeFrom="paragraph">
            <wp:posOffset>-368300</wp:posOffset>
          </wp:positionV>
          <wp:extent cx="3384550" cy="1337310"/>
          <wp:effectExtent l="0" t="0" r="6350" b="0"/>
          <wp:wrapSquare wrapText="bothSides"/>
          <wp:docPr id="3" name="Image 3" descr="C:\Users\BENZID~1\AppData\Local\Temp\Logo_Unistra_2lig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ZID~1\AppData\Local\Temp\Logo_Unistra_2lign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69A1FCBD" wp14:editId="0669C431">
          <wp:simplePos x="0" y="0"/>
          <wp:positionH relativeFrom="column">
            <wp:posOffset>-46355</wp:posOffset>
          </wp:positionH>
          <wp:positionV relativeFrom="paragraph">
            <wp:posOffset>-272415</wp:posOffset>
          </wp:positionV>
          <wp:extent cx="2438400" cy="1064260"/>
          <wp:effectExtent l="0" t="0" r="0" b="2540"/>
          <wp:wrapSquare wrapText="bothSides"/>
          <wp:docPr id="1" name="Image 1" descr="\\vfiler-ad-pers.ad.unistra.fr\jbatt\Documents\F_Admin IdT\Plaquette\logoI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ad-pers.ad.unistra.fr\jbatt\Documents\F_Admin IdT\Plaquette\logoID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840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30E"/>
    <w:multiLevelType w:val="hybridMultilevel"/>
    <w:tmpl w:val="61B01224"/>
    <w:lvl w:ilvl="0" w:tplc="1D88533A">
      <w:numFmt w:val="bullet"/>
      <w:lvlText w:val="-"/>
      <w:lvlJc w:val="left"/>
      <w:pPr>
        <w:ind w:left="1068" w:hanging="360"/>
      </w:pPr>
      <w:rPr>
        <w:rFonts w:ascii="Unistra A" w:eastAsiaTheme="minorHAnsi" w:hAnsi="Unistra A"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70A37BCB"/>
    <w:multiLevelType w:val="hybridMultilevel"/>
    <w:tmpl w:val="BF9667B0"/>
    <w:lvl w:ilvl="0" w:tplc="87124170">
      <w:start w:val="1"/>
      <w:numFmt w:val="bullet"/>
      <w:lvlText w:val="-"/>
      <w:lvlJc w:val="left"/>
      <w:pPr>
        <w:ind w:left="720" w:hanging="360"/>
      </w:pPr>
      <w:rPr>
        <w:rFonts w:ascii="Times New Roman" w:eastAsiaTheme="minorHAnsi" w:hAnsi="Times New Roman" w:cs="Times New Roman" w:hint="default"/>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47"/>
    <w:rsid w:val="000318AF"/>
    <w:rsid w:val="001144E3"/>
    <w:rsid w:val="00147188"/>
    <w:rsid w:val="001971F8"/>
    <w:rsid w:val="00205AB7"/>
    <w:rsid w:val="00206396"/>
    <w:rsid w:val="0020639C"/>
    <w:rsid w:val="00207D88"/>
    <w:rsid w:val="00244A1E"/>
    <w:rsid w:val="002C4EA2"/>
    <w:rsid w:val="002F42C2"/>
    <w:rsid w:val="003303B3"/>
    <w:rsid w:val="003405D1"/>
    <w:rsid w:val="00367ADA"/>
    <w:rsid w:val="003C6452"/>
    <w:rsid w:val="004459A7"/>
    <w:rsid w:val="00457505"/>
    <w:rsid w:val="004841FD"/>
    <w:rsid w:val="004A401A"/>
    <w:rsid w:val="004D5289"/>
    <w:rsid w:val="004E241A"/>
    <w:rsid w:val="00511D4D"/>
    <w:rsid w:val="006635F5"/>
    <w:rsid w:val="006D545E"/>
    <w:rsid w:val="006E75C7"/>
    <w:rsid w:val="00751B53"/>
    <w:rsid w:val="00796940"/>
    <w:rsid w:val="007D2F43"/>
    <w:rsid w:val="008055C1"/>
    <w:rsid w:val="00854E47"/>
    <w:rsid w:val="00874085"/>
    <w:rsid w:val="00892FB9"/>
    <w:rsid w:val="0097183A"/>
    <w:rsid w:val="009A73D6"/>
    <w:rsid w:val="00A46884"/>
    <w:rsid w:val="00B77B81"/>
    <w:rsid w:val="00BA1777"/>
    <w:rsid w:val="00BC1ADA"/>
    <w:rsid w:val="00BE70B2"/>
    <w:rsid w:val="00C20273"/>
    <w:rsid w:val="00C346CE"/>
    <w:rsid w:val="00C52BA5"/>
    <w:rsid w:val="00CD1A67"/>
    <w:rsid w:val="00D175DD"/>
    <w:rsid w:val="00D32C56"/>
    <w:rsid w:val="00D71152"/>
    <w:rsid w:val="00DB0584"/>
    <w:rsid w:val="00DF0A38"/>
    <w:rsid w:val="00E33CD4"/>
    <w:rsid w:val="00E4532F"/>
    <w:rsid w:val="00EB2B00"/>
    <w:rsid w:val="00ED1F11"/>
    <w:rsid w:val="00EE305E"/>
    <w:rsid w:val="00EF1ACB"/>
    <w:rsid w:val="00F36877"/>
    <w:rsid w:val="00F42C34"/>
    <w:rsid w:val="00FB2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4E47"/>
    <w:pPr>
      <w:tabs>
        <w:tab w:val="center" w:pos="4536"/>
        <w:tab w:val="right" w:pos="9072"/>
      </w:tabs>
      <w:spacing w:after="0" w:line="240" w:lineRule="auto"/>
    </w:pPr>
  </w:style>
  <w:style w:type="character" w:customStyle="1" w:styleId="En-tteCar">
    <w:name w:val="En-tête Car"/>
    <w:basedOn w:val="Policepardfaut"/>
    <w:link w:val="En-tte"/>
    <w:uiPriority w:val="99"/>
    <w:rsid w:val="00854E47"/>
  </w:style>
  <w:style w:type="paragraph" w:styleId="Pieddepage">
    <w:name w:val="footer"/>
    <w:basedOn w:val="Normal"/>
    <w:link w:val="PieddepageCar"/>
    <w:uiPriority w:val="99"/>
    <w:unhideWhenUsed/>
    <w:rsid w:val="00854E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4E47"/>
  </w:style>
  <w:style w:type="paragraph" w:styleId="Textedebulles">
    <w:name w:val="Balloon Text"/>
    <w:basedOn w:val="Normal"/>
    <w:link w:val="TextedebullesCar"/>
    <w:uiPriority w:val="99"/>
    <w:semiHidden/>
    <w:unhideWhenUsed/>
    <w:rsid w:val="00854E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E47"/>
    <w:rPr>
      <w:rFonts w:ascii="Tahoma" w:hAnsi="Tahoma" w:cs="Tahoma"/>
      <w:sz w:val="16"/>
      <w:szCs w:val="16"/>
    </w:rPr>
  </w:style>
  <w:style w:type="character" w:customStyle="1" w:styleId="textearticle">
    <w:name w:val="texte_article"/>
    <w:basedOn w:val="Policepardfaut"/>
    <w:rsid w:val="00DB0584"/>
  </w:style>
  <w:style w:type="character" w:styleId="Lienhypertexte">
    <w:name w:val="Hyperlink"/>
    <w:basedOn w:val="Policepardfaut"/>
    <w:uiPriority w:val="99"/>
    <w:unhideWhenUsed/>
    <w:rsid w:val="00DB0584"/>
    <w:rPr>
      <w:color w:val="0000FF" w:themeColor="hyperlink"/>
      <w:u w:val="single"/>
    </w:rPr>
  </w:style>
  <w:style w:type="paragraph" w:styleId="Paragraphedeliste">
    <w:name w:val="List Paragraph"/>
    <w:basedOn w:val="Normal"/>
    <w:uiPriority w:val="34"/>
    <w:qFormat/>
    <w:rsid w:val="00CD1A67"/>
    <w:pPr>
      <w:ind w:left="720"/>
      <w:contextualSpacing/>
    </w:pPr>
  </w:style>
  <w:style w:type="paragraph" w:styleId="Notedebasdepage">
    <w:name w:val="footnote text"/>
    <w:basedOn w:val="Normal"/>
    <w:link w:val="NotedebasdepageCar"/>
    <w:uiPriority w:val="99"/>
    <w:semiHidden/>
    <w:unhideWhenUsed/>
    <w:rsid w:val="00C202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0273"/>
    <w:rPr>
      <w:sz w:val="20"/>
      <w:szCs w:val="20"/>
    </w:rPr>
  </w:style>
  <w:style w:type="character" w:styleId="Appelnotedebasdep">
    <w:name w:val="footnote reference"/>
    <w:basedOn w:val="Policepardfaut"/>
    <w:uiPriority w:val="99"/>
    <w:semiHidden/>
    <w:unhideWhenUsed/>
    <w:rsid w:val="00C20273"/>
    <w:rPr>
      <w:vertAlign w:val="superscript"/>
    </w:rPr>
  </w:style>
  <w:style w:type="paragraph" w:styleId="NormalWeb">
    <w:name w:val="Normal (Web)"/>
    <w:basedOn w:val="Normal"/>
    <w:uiPriority w:val="99"/>
    <w:semiHidden/>
    <w:unhideWhenUsed/>
    <w:rsid w:val="00C202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7ADA"/>
    <w:rPr>
      <w:b/>
      <w:bCs/>
    </w:rPr>
  </w:style>
  <w:style w:type="table" w:styleId="Grilledutableau">
    <w:name w:val="Table Grid"/>
    <w:basedOn w:val="TableauNormal"/>
    <w:uiPriority w:val="59"/>
    <w:rsid w:val="0020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4E47"/>
    <w:pPr>
      <w:tabs>
        <w:tab w:val="center" w:pos="4536"/>
        <w:tab w:val="right" w:pos="9072"/>
      </w:tabs>
      <w:spacing w:after="0" w:line="240" w:lineRule="auto"/>
    </w:pPr>
  </w:style>
  <w:style w:type="character" w:customStyle="1" w:styleId="En-tteCar">
    <w:name w:val="En-tête Car"/>
    <w:basedOn w:val="Policepardfaut"/>
    <w:link w:val="En-tte"/>
    <w:uiPriority w:val="99"/>
    <w:rsid w:val="00854E47"/>
  </w:style>
  <w:style w:type="paragraph" w:styleId="Pieddepage">
    <w:name w:val="footer"/>
    <w:basedOn w:val="Normal"/>
    <w:link w:val="PieddepageCar"/>
    <w:uiPriority w:val="99"/>
    <w:unhideWhenUsed/>
    <w:rsid w:val="00854E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4E47"/>
  </w:style>
  <w:style w:type="paragraph" w:styleId="Textedebulles">
    <w:name w:val="Balloon Text"/>
    <w:basedOn w:val="Normal"/>
    <w:link w:val="TextedebullesCar"/>
    <w:uiPriority w:val="99"/>
    <w:semiHidden/>
    <w:unhideWhenUsed/>
    <w:rsid w:val="00854E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E47"/>
    <w:rPr>
      <w:rFonts w:ascii="Tahoma" w:hAnsi="Tahoma" w:cs="Tahoma"/>
      <w:sz w:val="16"/>
      <w:szCs w:val="16"/>
    </w:rPr>
  </w:style>
  <w:style w:type="character" w:customStyle="1" w:styleId="textearticle">
    <w:name w:val="texte_article"/>
    <w:basedOn w:val="Policepardfaut"/>
    <w:rsid w:val="00DB0584"/>
  </w:style>
  <w:style w:type="character" w:styleId="Lienhypertexte">
    <w:name w:val="Hyperlink"/>
    <w:basedOn w:val="Policepardfaut"/>
    <w:uiPriority w:val="99"/>
    <w:unhideWhenUsed/>
    <w:rsid w:val="00DB0584"/>
    <w:rPr>
      <w:color w:val="0000FF" w:themeColor="hyperlink"/>
      <w:u w:val="single"/>
    </w:rPr>
  </w:style>
  <w:style w:type="paragraph" w:styleId="Paragraphedeliste">
    <w:name w:val="List Paragraph"/>
    <w:basedOn w:val="Normal"/>
    <w:uiPriority w:val="34"/>
    <w:qFormat/>
    <w:rsid w:val="00CD1A67"/>
    <w:pPr>
      <w:ind w:left="720"/>
      <w:contextualSpacing/>
    </w:pPr>
  </w:style>
  <w:style w:type="paragraph" w:styleId="Notedebasdepage">
    <w:name w:val="footnote text"/>
    <w:basedOn w:val="Normal"/>
    <w:link w:val="NotedebasdepageCar"/>
    <w:uiPriority w:val="99"/>
    <w:semiHidden/>
    <w:unhideWhenUsed/>
    <w:rsid w:val="00C202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0273"/>
    <w:rPr>
      <w:sz w:val="20"/>
      <w:szCs w:val="20"/>
    </w:rPr>
  </w:style>
  <w:style w:type="character" w:styleId="Appelnotedebasdep">
    <w:name w:val="footnote reference"/>
    <w:basedOn w:val="Policepardfaut"/>
    <w:uiPriority w:val="99"/>
    <w:semiHidden/>
    <w:unhideWhenUsed/>
    <w:rsid w:val="00C20273"/>
    <w:rPr>
      <w:vertAlign w:val="superscript"/>
    </w:rPr>
  </w:style>
  <w:style w:type="paragraph" w:styleId="NormalWeb">
    <w:name w:val="Normal (Web)"/>
    <w:basedOn w:val="Normal"/>
    <w:uiPriority w:val="99"/>
    <w:semiHidden/>
    <w:unhideWhenUsed/>
    <w:rsid w:val="00C202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7ADA"/>
    <w:rPr>
      <w:b/>
      <w:bCs/>
    </w:rPr>
  </w:style>
  <w:style w:type="table" w:styleId="Grilledutableau">
    <w:name w:val="Table Grid"/>
    <w:basedOn w:val="TableauNormal"/>
    <w:uiPriority w:val="59"/>
    <w:rsid w:val="0020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846134">
      <w:bodyDiv w:val="1"/>
      <w:marLeft w:val="0"/>
      <w:marRight w:val="0"/>
      <w:marTop w:val="0"/>
      <w:marBottom w:val="0"/>
      <w:divBdr>
        <w:top w:val="none" w:sz="0" w:space="0" w:color="auto"/>
        <w:left w:val="none" w:sz="0" w:space="0" w:color="auto"/>
        <w:bottom w:val="none" w:sz="0" w:space="0" w:color="auto"/>
        <w:right w:val="none" w:sz="0" w:space="0" w:color="auto"/>
      </w:divBdr>
    </w:div>
    <w:div w:id="1450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egifrance.gouv.fr/affichTexte.do;jsessionid=6EF17403BF6E866558FB0F7E93E9EE5E.tpdila23v_1?cidTexte=JORFTEXT000032983213&amp;dateTexte=299901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FF56-3DE0-42E8-AA94-70D9094B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5676</TotalTime>
  <Pages>5</Pages>
  <Words>1559</Words>
  <Characters>8579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29</cp:revision>
  <cp:lastPrinted>2017-06-16T07:51:00Z</cp:lastPrinted>
  <dcterms:created xsi:type="dcterms:W3CDTF">2017-06-13T12:36:00Z</dcterms:created>
  <dcterms:modified xsi:type="dcterms:W3CDTF">2017-06-22T07:45:00Z</dcterms:modified>
</cp:coreProperties>
</file>