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1A" w:rsidRPr="004A401A" w:rsidRDefault="004A401A" w:rsidP="004A401A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0251BF" w:rsidRDefault="000251BF" w:rsidP="004A4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1BF" w:rsidRDefault="000251BF" w:rsidP="000251BF">
      <w:pPr>
        <w:rPr>
          <w:rFonts w:ascii="Times New Roman" w:hAnsi="Times New Roman" w:cs="Times New Roman"/>
          <w:sz w:val="24"/>
          <w:szCs w:val="24"/>
        </w:rPr>
      </w:pPr>
    </w:p>
    <w:p w:rsidR="000251BF" w:rsidRDefault="000251BF" w:rsidP="000251BF">
      <w:pPr>
        <w:tabs>
          <w:tab w:val="left" w:pos="3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51BF" w:rsidRPr="000251BF" w:rsidRDefault="000251BF" w:rsidP="0002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46"/>
        </w:tabs>
        <w:jc w:val="center"/>
        <w:rPr>
          <w:rFonts w:ascii="Unistra A" w:hAnsi="Unistra A" w:cs="Times New Roman"/>
          <w:sz w:val="8"/>
          <w:szCs w:val="8"/>
        </w:rPr>
      </w:pPr>
    </w:p>
    <w:p w:rsidR="004A401A" w:rsidRDefault="000251BF" w:rsidP="0002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46"/>
        </w:tabs>
        <w:jc w:val="center"/>
        <w:rPr>
          <w:rFonts w:ascii="Unistra A" w:hAnsi="Unistra A" w:cs="Times New Roman"/>
          <w:sz w:val="32"/>
          <w:szCs w:val="32"/>
        </w:rPr>
      </w:pPr>
      <w:r w:rsidRPr="000251BF">
        <w:rPr>
          <w:rFonts w:ascii="Unistra A" w:hAnsi="Unistra A" w:cs="Times New Roman"/>
          <w:sz w:val="32"/>
          <w:szCs w:val="32"/>
        </w:rPr>
        <w:t>ARRET DE LA CHAMBRE SOCIALE DE LA COUR DE CASSATION EN DATE DU 17 MAI 2017</w:t>
      </w:r>
      <w:r w:rsidR="00A65247">
        <w:rPr>
          <w:rStyle w:val="Appelnotedebasdep"/>
          <w:rFonts w:ascii="Unistra A" w:hAnsi="Unistra A" w:cs="Times New Roman"/>
          <w:sz w:val="32"/>
          <w:szCs w:val="32"/>
        </w:rPr>
        <w:footnoteReference w:id="1"/>
      </w:r>
      <w:r w:rsidRPr="000251BF">
        <w:rPr>
          <w:rFonts w:ascii="Unistra A" w:hAnsi="Unistra A" w:cs="Times New Roman"/>
          <w:sz w:val="32"/>
          <w:szCs w:val="32"/>
        </w:rPr>
        <w:t xml:space="preserve"> RELATIVE AU HARCELEMENT SEXUEL</w:t>
      </w:r>
    </w:p>
    <w:p w:rsidR="000251BF" w:rsidRDefault="000251BF" w:rsidP="0002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46"/>
        </w:tabs>
        <w:jc w:val="center"/>
        <w:rPr>
          <w:rFonts w:ascii="Unistra A" w:hAnsi="Unistra A" w:cs="Times New Roman"/>
          <w:sz w:val="8"/>
          <w:szCs w:val="8"/>
        </w:rPr>
      </w:pPr>
    </w:p>
    <w:p w:rsidR="000251BF" w:rsidRPr="000251BF" w:rsidRDefault="000251BF" w:rsidP="000251BF">
      <w:pPr>
        <w:rPr>
          <w:rFonts w:ascii="Unistra A" w:hAnsi="Unistra A" w:cs="Times New Roman"/>
          <w:sz w:val="8"/>
          <w:szCs w:val="8"/>
        </w:rPr>
      </w:pPr>
    </w:p>
    <w:p w:rsidR="000251BF" w:rsidRDefault="000251BF" w:rsidP="000251BF">
      <w:pPr>
        <w:rPr>
          <w:rFonts w:ascii="Unistra A" w:hAnsi="Unistra A" w:cs="Times New Roman"/>
          <w:sz w:val="8"/>
          <w:szCs w:val="8"/>
        </w:rPr>
      </w:pPr>
    </w:p>
    <w:p w:rsidR="005B495B" w:rsidRDefault="005B495B" w:rsidP="00C67D1E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 xml:space="preserve">Cet </w:t>
      </w:r>
      <w:r w:rsidR="00A65247">
        <w:rPr>
          <w:rFonts w:ascii="Unistra A" w:hAnsi="Unistra A" w:cs="Times New Roman"/>
          <w:sz w:val="24"/>
          <w:szCs w:val="24"/>
        </w:rPr>
        <w:t>arrêt rendu par la chambre sociale de la Cour de cassation</w:t>
      </w:r>
      <w:r>
        <w:rPr>
          <w:rFonts w:ascii="Unistra A" w:hAnsi="Unistra A" w:cs="Times New Roman"/>
          <w:sz w:val="24"/>
          <w:szCs w:val="24"/>
        </w:rPr>
        <w:t xml:space="preserve"> est l’occasion pour cette dernière d’apporter deux précisions quant aux sanctions </w:t>
      </w:r>
      <w:r w:rsidR="00822618">
        <w:rPr>
          <w:rFonts w:ascii="Unistra A" w:hAnsi="Unistra A" w:cs="Times New Roman"/>
          <w:sz w:val="24"/>
          <w:szCs w:val="24"/>
        </w:rPr>
        <w:t>encourues par l’auteur du harcèlement sexuel.</w:t>
      </w:r>
    </w:p>
    <w:p w:rsidR="000251BF" w:rsidRDefault="005B495B" w:rsidP="00C67D1E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>En l’espèce, la demanderesse, exerçant les fonctions d’</w:t>
      </w:r>
      <w:r w:rsidR="00822618">
        <w:rPr>
          <w:rFonts w:ascii="Unistra A" w:hAnsi="Unistra A" w:cs="Times New Roman"/>
          <w:sz w:val="24"/>
          <w:szCs w:val="24"/>
        </w:rPr>
        <w:t>animatrice</w:t>
      </w:r>
      <w:r>
        <w:rPr>
          <w:rFonts w:ascii="Unistra A" w:hAnsi="Unistra A" w:cs="Times New Roman"/>
          <w:sz w:val="24"/>
          <w:szCs w:val="24"/>
        </w:rPr>
        <w:t xml:space="preserve"> au sein de l’inter association </w:t>
      </w:r>
      <w:r w:rsidR="00A65247">
        <w:rPr>
          <w:rFonts w:ascii="Unistra A" w:hAnsi="Unistra A" w:cs="Times New Roman"/>
          <w:sz w:val="24"/>
          <w:szCs w:val="24"/>
        </w:rPr>
        <w:t xml:space="preserve"> </w:t>
      </w:r>
      <w:r w:rsidR="00547FEF">
        <w:rPr>
          <w:rFonts w:ascii="Unistra A" w:hAnsi="Unistra A" w:cs="Times New Roman"/>
          <w:sz w:val="24"/>
          <w:szCs w:val="24"/>
        </w:rPr>
        <w:t xml:space="preserve">des parents et amis scouts, a présenté sa démission </w:t>
      </w:r>
      <w:r w:rsidR="00822618">
        <w:rPr>
          <w:rFonts w:ascii="Unistra A" w:hAnsi="Unistra A" w:cs="Times New Roman"/>
          <w:sz w:val="24"/>
          <w:szCs w:val="24"/>
        </w:rPr>
        <w:t xml:space="preserve">près </w:t>
      </w:r>
      <w:r w:rsidR="00547FEF">
        <w:rPr>
          <w:rFonts w:ascii="Unistra A" w:hAnsi="Unistra A" w:cs="Times New Roman"/>
          <w:sz w:val="24"/>
          <w:szCs w:val="24"/>
        </w:rPr>
        <w:t xml:space="preserve"> d’un an après son embauche.</w:t>
      </w:r>
    </w:p>
    <w:p w:rsidR="00547FEF" w:rsidRDefault="00547FEF" w:rsidP="00C67D1E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 xml:space="preserve">Cette dernière saisit les juridictions du fond aux fins d’obtenir la requalification de sa démission en licenciement </w:t>
      </w:r>
      <w:r w:rsidR="00822618">
        <w:rPr>
          <w:rFonts w:ascii="Unistra A" w:hAnsi="Unistra A" w:cs="Times New Roman"/>
          <w:sz w:val="24"/>
          <w:szCs w:val="24"/>
        </w:rPr>
        <w:t>qualifiés de nul</w:t>
      </w:r>
      <w:r>
        <w:rPr>
          <w:rFonts w:ascii="Unistra A" w:hAnsi="Unistra A" w:cs="Times New Roman"/>
          <w:sz w:val="24"/>
          <w:szCs w:val="24"/>
        </w:rPr>
        <w:t xml:space="preserve"> </w:t>
      </w:r>
      <w:r w:rsidR="00822618">
        <w:rPr>
          <w:rFonts w:ascii="Unistra A" w:hAnsi="Unistra A" w:cs="Times New Roman"/>
          <w:sz w:val="24"/>
          <w:szCs w:val="24"/>
        </w:rPr>
        <w:t>car</w:t>
      </w:r>
      <w:r>
        <w:rPr>
          <w:rFonts w:ascii="Unistra A" w:hAnsi="Unistra A" w:cs="Times New Roman"/>
          <w:sz w:val="24"/>
          <w:szCs w:val="24"/>
        </w:rPr>
        <w:t xml:space="preserve"> </w:t>
      </w:r>
      <w:r w:rsidR="00822618">
        <w:rPr>
          <w:rFonts w:ascii="Unistra A" w:hAnsi="Unistra A" w:cs="Times New Roman"/>
          <w:sz w:val="24"/>
          <w:szCs w:val="24"/>
        </w:rPr>
        <w:t>elle a subi des faits constitutifs de harcèlement sexuel</w:t>
      </w:r>
      <w:r>
        <w:rPr>
          <w:rFonts w:ascii="Unistra A" w:hAnsi="Unistra A" w:cs="Times New Roman"/>
          <w:sz w:val="24"/>
          <w:szCs w:val="24"/>
        </w:rPr>
        <w:t xml:space="preserve"> de la part du Directeur de l’association.</w:t>
      </w:r>
    </w:p>
    <w:p w:rsidR="00547FEF" w:rsidRDefault="00547FEF" w:rsidP="00C67D1E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>La Cour d’appel rejette ses prétentions arguant d’une double motivation :</w:t>
      </w:r>
    </w:p>
    <w:p w:rsidR="00547FEF" w:rsidRDefault="00547FEF" w:rsidP="00C67D1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 xml:space="preserve">Il n’est pas possible de reprocher à </w:t>
      </w:r>
      <w:r w:rsidR="00822618">
        <w:rPr>
          <w:rFonts w:ascii="Unistra A" w:hAnsi="Unistra A" w:cs="Times New Roman"/>
          <w:sz w:val="24"/>
          <w:szCs w:val="24"/>
        </w:rPr>
        <w:t>un</w:t>
      </w:r>
      <w:r>
        <w:rPr>
          <w:rFonts w:ascii="Unistra A" w:hAnsi="Unistra A" w:cs="Times New Roman"/>
          <w:sz w:val="24"/>
          <w:szCs w:val="24"/>
        </w:rPr>
        <w:t xml:space="preserve"> employeur </w:t>
      </w:r>
      <w:r w:rsidR="00C67D1E">
        <w:rPr>
          <w:rFonts w:ascii="Unistra A" w:hAnsi="Unistra A" w:cs="Times New Roman"/>
          <w:sz w:val="24"/>
          <w:szCs w:val="24"/>
        </w:rPr>
        <w:t xml:space="preserve">les faits constitutifs de harcèlement sexuel </w:t>
      </w:r>
      <w:r w:rsidR="00822618">
        <w:rPr>
          <w:rFonts w:ascii="Unistra A" w:hAnsi="Unistra A" w:cs="Times New Roman"/>
          <w:sz w:val="24"/>
          <w:szCs w:val="24"/>
        </w:rPr>
        <w:t>causé par le</w:t>
      </w:r>
      <w:r w:rsidR="00C67D1E">
        <w:rPr>
          <w:rFonts w:ascii="Unistra A" w:hAnsi="Unistra A" w:cs="Times New Roman"/>
          <w:sz w:val="24"/>
          <w:szCs w:val="24"/>
        </w:rPr>
        <w:t xml:space="preserve"> directeur, dans la mesure où l’employeur ne peut être tenu </w:t>
      </w:r>
      <w:r w:rsidR="00822618">
        <w:rPr>
          <w:rFonts w:ascii="Unistra A" w:hAnsi="Unistra A" w:cs="Times New Roman"/>
          <w:sz w:val="24"/>
          <w:szCs w:val="24"/>
        </w:rPr>
        <w:t>responsable que de son</w:t>
      </w:r>
      <w:r w:rsidR="00C67D1E">
        <w:rPr>
          <w:rFonts w:ascii="Unistra A" w:hAnsi="Unistra A" w:cs="Times New Roman"/>
          <w:sz w:val="24"/>
          <w:szCs w:val="24"/>
        </w:rPr>
        <w:t xml:space="preserve"> obligation de sécurité</w:t>
      </w:r>
      <w:r w:rsidR="007E3D71">
        <w:rPr>
          <w:rFonts w:ascii="Unistra A" w:hAnsi="Unistra A" w:cs="Times New Roman"/>
          <w:sz w:val="24"/>
          <w:szCs w:val="24"/>
        </w:rPr>
        <w:t xml:space="preserve">. La demanderesse ne peut donc obtenir à la fois des dommages-intérêts pour harcèlement sexuel de la part de l’auteur des faits, </w:t>
      </w:r>
      <w:r w:rsidR="007E3D71" w:rsidRPr="00822618">
        <w:rPr>
          <w:rFonts w:ascii="Unistra A" w:hAnsi="Unistra A" w:cs="Times New Roman"/>
          <w:b/>
          <w:sz w:val="24"/>
          <w:szCs w:val="24"/>
          <w:u w:val="single"/>
        </w:rPr>
        <w:t>ET</w:t>
      </w:r>
      <w:r w:rsidR="007E3D71">
        <w:rPr>
          <w:rFonts w:ascii="Unistra A" w:hAnsi="Unistra A" w:cs="Times New Roman"/>
          <w:sz w:val="24"/>
          <w:szCs w:val="24"/>
        </w:rPr>
        <w:t xml:space="preserve"> des dommages-intérêt</w:t>
      </w:r>
      <w:r w:rsidR="00822618">
        <w:rPr>
          <w:rFonts w:ascii="Unistra A" w:hAnsi="Unistra A" w:cs="Times New Roman"/>
          <w:sz w:val="24"/>
          <w:szCs w:val="24"/>
        </w:rPr>
        <w:t>s</w:t>
      </w:r>
      <w:r w:rsidR="007E3D71">
        <w:rPr>
          <w:rFonts w:ascii="Unistra A" w:hAnsi="Unistra A" w:cs="Times New Roman"/>
          <w:sz w:val="24"/>
          <w:szCs w:val="24"/>
        </w:rPr>
        <w:t xml:space="preserve"> pour manquement de l’employeur à son obligation de sécurité.</w:t>
      </w:r>
    </w:p>
    <w:p w:rsidR="00C67D1E" w:rsidRDefault="007E3D71" w:rsidP="00C67D1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>Un seul fait ne saurait être constitutif de harcèlement sexuel, lequel requiert des agissements répétés.</w:t>
      </w:r>
    </w:p>
    <w:p w:rsidR="00FD7B87" w:rsidRDefault="00FD7B87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p w:rsidR="00FD7B87" w:rsidRDefault="00FD7B87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p w:rsidR="00FD7B87" w:rsidRDefault="00FD7B87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p w:rsidR="00FD7B87" w:rsidRDefault="00FD7B87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p w:rsidR="00FD7B87" w:rsidRDefault="00FD7B87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p w:rsidR="00822618" w:rsidRDefault="00822618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p w:rsidR="007E3D71" w:rsidRDefault="007E3D71" w:rsidP="007E3D71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>La Haute juridiction casse l’arrêt d’appel pour violation de la loi et infirme ce dernier sur sa double motivation</w:t>
      </w:r>
      <w:r w:rsidR="00822618">
        <w:rPr>
          <w:rFonts w:ascii="Unistra A" w:hAnsi="Unistra A" w:cs="Times New Roman"/>
          <w:sz w:val="24"/>
          <w:szCs w:val="24"/>
        </w:rPr>
        <w:t>. A</w:t>
      </w:r>
      <w:r w:rsidR="0086329A">
        <w:rPr>
          <w:rFonts w:ascii="Unistra A" w:hAnsi="Unistra A" w:cs="Times New Roman"/>
          <w:sz w:val="24"/>
          <w:szCs w:val="24"/>
        </w:rPr>
        <w:t>u visa des articles L.1153-1</w:t>
      </w:r>
      <w:r w:rsidR="00FD7B87">
        <w:rPr>
          <w:rStyle w:val="Appelnotedebasdep"/>
          <w:rFonts w:ascii="Unistra A" w:hAnsi="Unistra A" w:cs="Times New Roman"/>
          <w:sz w:val="24"/>
          <w:szCs w:val="24"/>
        </w:rPr>
        <w:footnoteReference w:id="2"/>
      </w:r>
      <w:r w:rsidR="0086329A">
        <w:rPr>
          <w:rFonts w:ascii="Unistra A" w:hAnsi="Unistra A" w:cs="Times New Roman"/>
          <w:sz w:val="24"/>
          <w:szCs w:val="24"/>
        </w:rPr>
        <w:t xml:space="preserve"> et L.1153-5</w:t>
      </w:r>
      <w:r w:rsidR="00FD7B87">
        <w:rPr>
          <w:rStyle w:val="Appelnotedebasdep"/>
          <w:rFonts w:ascii="Unistra A" w:hAnsi="Unistra A" w:cs="Times New Roman"/>
          <w:sz w:val="24"/>
          <w:szCs w:val="24"/>
        </w:rPr>
        <w:footnoteReference w:id="3"/>
      </w:r>
      <w:r w:rsidR="0086329A">
        <w:rPr>
          <w:rFonts w:ascii="Unistra A" w:hAnsi="Unistra A" w:cs="Times New Roman"/>
          <w:sz w:val="24"/>
          <w:szCs w:val="24"/>
        </w:rPr>
        <w:t xml:space="preserve"> du code du travail</w:t>
      </w:r>
      <w:r w:rsidR="00822618">
        <w:rPr>
          <w:rFonts w:ascii="Unistra A" w:hAnsi="Unistra A" w:cs="Times New Roman"/>
          <w:sz w:val="24"/>
          <w:szCs w:val="24"/>
        </w:rPr>
        <w:t>,</w:t>
      </w:r>
      <w:r w:rsidR="0086329A">
        <w:rPr>
          <w:rFonts w:ascii="Unistra A" w:hAnsi="Unistra A" w:cs="Times New Roman"/>
          <w:sz w:val="24"/>
          <w:szCs w:val="24"/>
        </w:rPr>
        <w:t xml:space="preserve"> elle affirme que : </w:t>
      </w:r>
    </w:p>
    <w:p w:rsidR="007E3D71" w:rsidRPr="00FD7B87" w:rsidRDefault="007E3D71" w:rsidP="007E3D71">
      <w:pPr>
        <w:pStyle w:val="Paragraphedeliste"/>
        <w:numPr>
          <w:ilvl w:val="0"/>
          <w:numId w:val="2"/>
        </w:numPr>
        <w:spacing w:line="360" w:lineRule="auto"/>
        <w:ind w:left="705"/>
        <w:jc w:val="both"/>
        <w:rPr>
          <w:rFonts w:ascii="Unistra A" w:hAnsi="Unistra A" w:cs="Times New Roman"/>
          <w:sz w:val="24"/>
          <w:szCs w:val="24"/>
        </w:rPr>
      </w:pPr>
      <w:r w:rsidRPr="00FD7B87">
        <w:rPr>
          <w:rFonts w:ascii="Unistra A" w:hAnsi="Unistra A" w:cs="Times New Roman"/>
          <w:sz w:val="24"/>
          <w:szCs w:val="24"/>
        </w:rPr>
        <w:t xml:space="preserve">L’agissement fautif de l’auteur de harcèlement sexuel et le manquement de l’employeur à son obligation de sécurité entraînent des </w:t>
      </w:r>
      <w:r w:rsidRPr="00FD7B87">
        <w:rPr>
          <w:rFonts w:ascii="Unistra A" w:hAnsi="Unistra A" w:cs="Times New Roman"/>
          <w:b/>
          <w:sz w:val="24"/>
          <w:szCs w:val="24"/>
          <w:u w:val="single"/>
        </w:rPr>
        <w:t xml:space="preserve">préjudices distincts </w:t>
      </w:r>
      <w:r w:rsidRPr="00FD7B87">
        <w:rPr>
          <w:rFonts w:ascii="Unistra A" w:hAnsi="Unistra A" w:cs="Times New Roman"/>
          <w:sz w:val="24"/>
          <w:szCs w:val="24"/>
        </w:rPr>
        <w:t>dont la victime peut obtenir réparation. Il est donc possible d’engager à la fois la responsabilité du directeur</w:t>
      </w:r>
      <w:r w:rsidR="00822618">
        <w:rPr>
          <w:rFonts w:ascii="Unistra A" w:hAnsi="Unistra A" w:cs="Times New Roman"/>
          <w:sz w:val="24"/>
          <w:szCs w:val="24"/>
        </w:rPr>
        <w:t>,</w:t>
      </w:r>
      <w:r w:rsidRPr="00FD7B87">
        <w:rPr>
          <w:rFonts w:ascii="Unistra A" w:hAnsi="Unistra A" w:cs="Times New Roman"/>
          <w:sz w:val="24"/>
          <w:szCs w:val="24"/>
        </w:rPr>
        <w:t xml:space="preserve"> auteur des faits et celle de l’employeur</w:t>
      </w:r>
      <w:r w:rsidR="00822618">
        <w:rPr>
          <w:rFonts w:ascii="Unistra A" w:hAnsi="Unistra A" w:cs="Times New Roman"/>
          <w:sz w:val="24"/>
          <w:szCs w:val="24"/>
        </w:rPr>
        <w:t>,</w:t>
      </w:r>
      <w:r w:rsidRPr="00FD7B87">
        <w:rPr>
          <w:rFonts w:ascii="Unistra A" w:hAnsi="Unistra A" w:cs="Times New Roman"/>
          <w:sz w:val="24"/>
          <w:szCs w:val="24"/>
        </w:rPr>
        <w:t xml:space="preserve"> pour ne pas avoir pris les mesures nécessaires à l’encontre de l’auteur des faits incriminés.</w:t>
      </w:r>
    </w:p>
    <w:p w:rsidR="007E3D71" w:rsidRDefault="0086329A" w:rsidP="007E3D7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 xml:space="preserve">Un seul fait, </w:t>
      </w:r>
      <w:r w:rsidRPr="00FD7B87">
        <w:rPr>
          <w:rFonts w:ascii="Unistra A" w:hAnsi="Unistra A" w:cs="Times New Roman"/>
          <w:b/>
          <w:sz w:val="24"/>
          <w:szCs w:val="24"/>
          <w:u w:val="single"/>
        </w:rPr>
        <w:t>un seul agissement</w:t>
      </w:r>
      <w:bookmarkStart w:id="0" w:name="_GoBack"/>
      <w:bookmarkEnd w:id="0"/>
      <w:r>
        <w:rPr>
          <w:rFonts w:ascii="Unistra A" w:hAnsi="Unistra A" w:cs="Times New Roman"/>
          <w:sz w:val="24"/>
          <w:szCs w:val="24"/>
        </w:rPr>
        <w:t xml:space="preserve"> suffit à caractériser le harcèlement sexuel.</w:t>
      </w:r>
      <w:r w:rsidR="00FD7B87">
        <w:rPr>
          <w:rFonts w:ascii="Unistra A" w:hAnsi="Unistra A" w:cs="Times New Roman"/>
          <w:sz w:val="24"/>
          <w:szCs w:val="24"/>
        </w:rPr>
        <w:t xml:space="preserve"> </w:t>
      </w:r>
      <w:r w:rsidR="00486550">
        <w:rPr>
          <w:rFonts w:ascii="Unistra A" w:hAnsi="Unistra A" w:cs="Times New Roman"/>
          <w:sz w:val="24"/>
          <w:szCs w:val="24"/>
        </w:rPr>
        <w:t>Il appartient alors à la victime d’apporter les éléments permettant de caractériser le harcèlement sexuel.</w:t>
      </w:r>
    </w:p>
    <w:p w:rsidR="00486550" w:rsidRPr="00486550" w:rsidRDefault="00486550" w:rsidP="00486550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  <w:r>
        <w:rPr>
          <w:rFonts w:ascii="Unistra A" w:hAnsi="Unistra A" w:cs="Times New Roman"/>
          <w:sz w:val="24"/>
          <w:szCs w:val="24"/>
        </w:rPr>
        <w:t xml:space="preserve">Ainsi, force est de constater que cet arrêt est doublement novateur, permettant ainsi </w:t>
      </w:r>
      <w:r w:rsidR="006B3AA8">
        <w:rPr>
          <w:rFonts w:ascii="Unistra A" w:hAnsi="Unistra A" w:cs="Times New Roman"/>
          <w:sz w:val="24"/>
          <w:szCs w:val="24"/>
        </w:rPr>
        <w:t>une</w:t>
      </w:r>
      <w:r>
        <w:rPr>
          <w:rFonts w:ascii="Unistra A" w:hAnsi="Unistra A" w:cs="Times New Roman"/>
          <w:sz w:val="24"/>
          <w:szCs w:val="24"/>
        </w:rPr>
        <w:t xml:space="preserve"> large indemnisation des victimes.</w:t>
      </w:r>
    </w:p>
    <w:p w:rsidR="00547FEF" w:rsidRPr="000251BF" w:rsidRDefault="00547FEF" w:rsidP="00C67D1E">
      <w:pPr>
        <w:spacing w:line="360" w:lineRule="auto"/>
        <w:jc w:val="both"/>
        <w:rPr>
          <w:rFonts w:ascii="Unistra A" w:hAnsi="Unistra A" w:cs="Times New Roman"/>
          <w:sz w:val="24"/>
          <w:szCs w:val="24"/>
        </w:rPr>
      </w:pPr>
    </w:p>
    <w:sectPr w:rsidR="00547FEF" w:rsidRPr="000251BF" w:rsidSect="00DB0584">
      <w:headerReference w:type="default" r:id="rId9"/>
      <w:footerReference w:type="default" r:id="rId10"/>
      <w:pgSz w:w="11906" w:h="16838"/>
      <w:pgMar w:top="1417" w:right="566" w:bottom="1417" w:left="56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84" w:rsidRDefault="00DB0584" w:rsidP="00854E47">
      <w:pPr>
        <w:spacing w:after="0" w:line="240" w:lineRule="auto"/>
      </w:pPr>
      <w:r>
        <w:separator/>
      </w:r>
    </w:p>
  </w:endnote>
  <w:endnote w:type="continuationSeparator" w:id="0">
    <w:p w:rsidR="00DB0584" w:rsidRDefault="00DB0584" w:rsidP="0085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84" w:rsidRPr="00DB0584" w:rsidRDefault="00DB0584" w:rsidP="00DB0584">
    <w:pPr>
      <w:pStyle w:val="Pieddepage"/>
      <w:tabs>
        <w:tab w:val="clear" w:pos="9072"/>
        <w:tab w:val="right" w:pos="9781"/>
      </w:tabs>
      <w:ind w:left="-709" w:right="-709"/>
      <w:jc w:val="center"/>
      <w:rPr>
        <w:rFonts w:ascii="Unistra A" w:hAnsi="Unistra A"/>
        <w:sz w:val="24"/>
        <w:szCs w:val="20"/>
      </w:rPr>
    </w:pPr>
    <w:r w:rsidRPr="00DB0584">
      <w:rPr>
        <w:rFonts w:ascii="Unistra A" w:hAnsi="Unistra A"/>
        <w:sz w:val="24"/>
        <w:szCs w:val="20"/>
      </w:rPr>
      <w:t>INSTITUT DU TRAVAIL - Université Robert Schuman - 39, avenue de la Forêt Noire – 67000 STRASBOURG</w:t>
    </w:r>
  </w:p>
  <w:p w:rsidR="00DB0584" w:rsidRPr="00DB0584" w:rsidRDefault="00DB0584" w:rsidP="00DB0584">
    <w:pPr>
      <w:pStyle w:val="Pieddepage"/>
      <w:tabs>
        <w:tab w:val="clear" w:pos="9072"/>
        <w:tab w:val="right" w:pos="9781"/>
      </w:tabs>
      <w:ind w:left="-709" w:right="-709"/>
      <w:jc w:val="center"/>
      <w:rPr>
        <w:rStyle w:val="textearticle"/>
      </w:rPr>
    </w:pPr>
    <w:r w:rsidRPr="00DB0584">
      <w:rPr>
        <w:rFonts w:ascii="Unistra A" w:hAnsi="Unistra A"/>
        <w:sz w:val="24"/>
        <w:szCs w:val="20"/>
      </w:rPr>
      <w:t xml:space="preserve">Tél : 03 88 61 25 21 - Fax : 03 88 60 04 29 - email : </w:t>
    </w:r>
    <w:r w:rsidRPr="00DB0584">
      <w:rPr>
        <w:rStyle w:val="textearticle"/>
      </w:rPr>
      <w:t>institut.travail@unistra.fr</w:t>
    </w:r>
  </w:p>
  <w:p w:rsidR="00DB0584" w:rsidRPr="00DB0584" w:rsidRDefault="00DB0584" w:rsidP="00DB0584">
    <w:pPr>
      <w:pStyle w:val="Pieddepage"/>
      <w:tabs>
        <w:tab w:val="clear" w:pos="9072"/>
        <w:tab w:val="right" w:pos="9781"/>
      </w:tabs>
      <w:ind w:left="-709" w:right="-709"/>
      <w:jc w:val="center"/>
      <w:rPr>
        <w:rFonts w:ascii="Unistra A" w:hAnsi="Unistra A"/>
        <w:color w:val="244061" w:themeColor="accent1" w:themeShade="80"/>
        <w:sz w:val="24"/>
        <w:szCs w:val="20"/>
      </w:rPr>
    </w:pPr>
    <w:r w:rsidRPr="00DB0584">
      <w:rPr>
        <w:rStyle w:val="textearticle"/>
        <w:color w:val="244061" w:themeColor="accent1" w:themeShade="80"/>
      </w:rPr>
      <w:t>www-idt.u-strasbg.fr</w:t>
    </w:r>
  </w:p>
  <w:p w:rsidR="00DB0584" w:rsidRDefault="00DB0584" w:rsidP="00DB0584">
    <w:pPr>
      <w:pStyle w:val="Pieddepage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84" w:rsidRDefault="00DB0584" w:rsidP="00854E47">
      <w:pPr>
        <w:spacing w:after="0" w:line="240" w:lineRule="auto"/>
      </w:pPr>
      <w:r>
        <w:separator/>
      </w:r>
    </w:p>
  </w:footnote>
  <w:footnote w:type="continuationSeparator" w:id="0">
    <w:p w:rsidR="00DB0584" w:rsidRDefault="00DB0584" w:rsidP="00854E47">
      <w:pPr>
        <w:spacing w:after="0" w:line="240" w:lineRule="auto"/>
      </w:pPr>
      <w:r>
        <w:continuationSeparator/>
      </w:r>
    </w:p>
  </w:footnote>
  <w:footnote w:id="1">
    <w:p w:rsidR="00A65247" w:rsidRDefault="00A65247">
      <w:pPr>
        <w:pStyle w:val="Notedebasdepage"/>
      </w:pPr>
      <w:r>
        <w:rPr>
          <w:rStyle w:val="Appelnotedebasdep"/>
        </w:rPr>
        <w:footnoteRef/>
      </w:r>
      <w:r>
        <w:t xml:space="preserve"> Cass. Soc. 17 mai 2017, n°15-19.300 FS-FB.</w:t>
      </w:r>
    </w:p>
    <w:p w:rsidR="00FD7B87" w:rsidRDefault="00FD7B87">
      <w:pPr>
        <w:pStyle w:val="Notedebasdepage"/>
      </w:pPr>
    </w:p>
  </w:footnote>
  <w:footnote w:id="2">
    <w:p w:rsidR="00FD7B87" w:rsidRPr="00FD7B87" w:rsidRDefault="00FD7B87">
      <w:pPr>
        <w:pStyle w:val="Notedebasdepage"/>
        <w:rPr>
          <w:rFonts w:ascii="Unistra A" w:hAnsi="Unistra A"/>
          <w:sz w:val="22"/>
          <w:szCs w:val="22"/>
        </w:rPr>
      </w:pPr>
      <w:r w:rsidRPr="00FD7B87">
        <w:rPr>
          <w:rStyle w:val="Appelnotedebasdep"/>
          <w:rFonts w:ascii="Unistra A" w:hAnsi="Unistra A"/>
          <w:sz w:val="22"/>
          <w:szCs w:val="22"/>
        </w:rPr>
        <w:footnoteRef/>
      </w:r>
      <w:r w:rsidRPr="00FD7B87">
        <w:rPr>
          <w:rFonts w:ascii="Unistra A" w:hAnsi="Unistra A"/>
          <w:sz w:val="22"/>
          <w:szCs w:val="22"/>
        </w:rPr>
        <w:t xml:space="preserve"> </w:t>
      </w:r>
      <w:r w:rsidRPr="00FD7B87">
        <w:rPr>
          <w:rFonts w:ascii="Unistra A" w:hAnsi="Unistra A"/>
          <w:sz w:val="22"/>
          <w:szCs w:val="22"/>
        </w:rPr>
        <w:t xml:space="preserve">Aucun salarié ne doit subir des faits : </w:t>
      </w:r>
      <w:r w:rsidRPr="00FD7B87">
        <w:rPr>
          <w:rFonts w:ascii="Unistra A" w:hAnsi="Unistra A"/>
          <w:sz w:val="22"/>
          <w:szCs w:val="22"/>
        </w:rPr>
        <w:br/>
      </w:r>
      <w:r w:rsidRPr="00FD7B87">
        <w:rPr>
          <w:rFonts w:ascii="Unistra A" w:hAnsi="Unistra A"/>
          <w:sz w:val="22"/>
          <w:szCs w:val="22"/>
        </w:rPr>
        <w:br/>
        <w:t>1° Soit de harcèlement sexuel, constitué par des propos ou comportements à connotation sexuelle répétés qui soit portent atteinte</w:t>
      </w:r>
      <w:r>
        <w:t xml:space="preserve"> à sa </w:t>
      </w:r>
      <w:r w:rsidRPr="00FD7B87">
        <w:rPr>
          <w:rFonts w:ascii="Unistra A" w:hAnsi="Unistra A"/>
          <w:sz w:val="22"/>
          <w:szCs w:val="22"/>
        </w:rPr>
        <w:t xml:space="preserve">dignité en raison de leur caractère dégradant ou humiliant, soit créent à son encontre une situation intimidante, hostile ou offensante ; </w:t>
      </w:r>
      <w:r w:rsidRPr="00FD7B87">
        <w:rPr>
          <w:rFonts w:ascii="Unistra A" w:hAnsi="Unistra A"/>
          <w:sz w:val="22"/>
          <w:szCs w:val="22"/>
        </w:rPr>
        <w:br/>
      </w:r>
      <w:r w:rsidRPr="00FD7B87">
        <w:rPr>
          <w:rFonts w:ascii="Unistra A" w:hAnsi="Unistra A"/>
          <w:sz w:val="22"/>
          <w:szCs w:val="22"/>
        </w:rPr>
        <w:br/>
        <w:t>2° Soit assimilés au harcèlement sexuel, consistant en toute forme de pression grave, même non répétée, exercée dans le but réel ou apparent d'obtenir un acte de nature sexuelle, que celui-ci soit recherché au profit de l'auteur des faits ou au profit d'un tiers.</w:t>
      </w:r>
    </w:p>
  </w:footnote>
  <w:footnote w:id="3">
    <w:p w:rsidR="00FD7B87" w:rsidRPr="00FD7B87" w:rsidRDefault="00FD7B87" w:rsidP="00FD7B87">
      <w:pPr>
        <w:pStyle w:val="NormalWeb"/>
        <w:rPr>
          <w:rFonts w:ascii="Unistra A" w:hAnsi="Unistra A"/>
          <w:sz w:val="22"/>
          <w:szCs w:val="22"/>
        </w:rPr>
      </w:pPr>
      <w:r w:rsidRPr="00FD7B87">
        <w:rPr>
          <w:rStyle w:val="Appelnotedebasdep"/>
          <w:rFonts w:ascii="Unistra A" w:hAnsi="Unistra A"/>
          <w:sz w:val="22"/>
          <w:szCs w:val="22"/>
        </w:rPr>
        <w:footnoteRef/>
      </w:r>
      <w:r w:rsidRPr="00FD7B87">
        <w:rPr>
          <w:rFonts w:ascii="Unistra A" w:hAnsi="Unistra A"/>
          <w:sz w:val="22"/>
          <w:szCs w:val="22"/>
        </w:rPr>
        <w:t xml:space="preserve"> </w:t>
      </w:r>
      <w:r w:rsidRPr="00FD7B87">
        <w:rPr>
          <w:rFonts w:ascii="Unistra A" w:hAnsi="Unistra A"/>
          <w:sz w:val="22"/>
          <w:szCs w:val="22"/>
        </w:rPr>
        <w:t xml:space="preserve">L'employeur prend toutes dispositions nécessaires en vue de prévenir les faits de harcèlement sexuel, d'y mettre un terme et de les sanctionner. </w:t>
      </w:r>
    </w:p>
    <w:p w:rsidR="00FD7B87" w:rsidRPr="00FD7B87" w:rsidRDefault="00FD7B87" w:rsidP="00FD7B87">
      <w:pPr>
        <w:pStyle w:val="NormalWeb"/>
        <w:rPr>
          <w:rFonts w:ascii="Unistra A" w:hAnsi="Unistra A"/>
          <w:sz w:val="22"/>
          <w:szCs w:val="22"/>
        </w:rPr>
      </w:pPr>
      <w:r w:rsidRPr="00FD7B87">
        <w:rPr>
          <w:rFonts w:ascii="Unistra A" w:hAnsi="Unistra A"/>
          <w:sz w:val="22"/>
          <w:szCs w:val="22"/>
        </w:rPr>
        <w:t xml:space="preserve">Dans les lieux de travail ainsi que dans les locaux ou à la porte des locaux où se fait l'embauche, les personnes mentionnées à l'article L. 1153-2 sont informées par tout moyen du texte de l'article 222-33 du code </w:t>
      </w:r>
      <w:r w:rsidRPr="00FD7B87">
        <w:rPr>
          <w:rFonts w:ascii="Unistra A" w:hAnsi="Unistra A"/>
          <w:sz w:val="22"/>
          <w:szCs w:val="22"/>
        </w:rPr>
        <w:t>pénal.</w:t>
      </w:r>
    </w:p>
    <w:p w:rsidR="00FD7B87" w:rsidRDefault="00FD7B8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84" w:rsidRDefault="00892FB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2984400" wp14:editId="46757051">
          <wp:simplePos x="0" y="0"/>
          <wp:positionH relativeFrom="column">
            <wp:posOffset>3678555</wp:posOffset>
          </wp:positionH>
          <wp:positionV relativeFrom="paragraph">
            <wp:posOffset>-368300</wp:posOffset>
          </wp:positionV>
          <wp:extent cx="3384550" cy="1337310"/>
          <wp:effectExtent l="0" t="0" r="6350" b="0"/>
          <wp:wrapSquare wrapText="bothSides"/>
          <wp:docPr id="3" name="Image 3" descr="C:\Users\BENZID~1\AppData\Local\Temp\Logo_Unistra_2ligne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ZID~1\AppData\Local\Temp\Logo_Unistra_2ligne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9A1FCBD" wp14:editId="0669C431">
          <wp:simplePos x="0" y="0"/>
          <wp:positionH relativeFrom="column">
            <wp:posOffset>-46355</wp:posOffset>
          </wp:positionH>
          <wp:positionV relativeFrom="paragraph">
            <wp:posOffset>-272415</wp:posOffset>
          </wp:positionV>
          <wp:extent cx="2438400" cy="1064260"/>
          <wp:effectExtent l="0" t="0" r="0" b="2540"/>
          <wp:wrapSquare wrapText="bothSides"/>
          <wp:docPr id="1" name="Image 1" descr="\\vfiler-ad-pers.ad.unistra.fr\jbatt\Documents\F_Admin IdT\Plaquette\logoI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filer-ad-pers.ad.unistra.fr\jbatt\Documents\F_Admin IdT\Plaquette\logoID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E27"/>
    <w:multiLevelType w:val="hybridMultilevel"/>
    <w:tmpl w:val="5E7AD43C"/>
    <w:lvl w:ilvl="0" w:tplc="7B6A004A">
      <w:numFmt w:val="bullet"/>
      <w:lvlText w:val="-"/>
      <w:lvlJc w:val="left"/>
      <w:pPr>
        <w:ind w:left="1065" w:hanging="360"/>
      </w:pPr>
      <w:rPr>
        <w:rFonts w:ascii="Unistra A" w:eastAsiaTheme="minorHAnsi" w:hAnsi="Unistra 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0A37BCB"/>
    <w:multiLevelType w:val="hybridMultilevel"/>
    <w:tmpl w:val="BF9667B0"/>
    <w:lvl w:ilvl="0" w:tplc="871241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7"/>
    <w:rsid w:val="000251BF"/>
    <w:rsid w:val="00147188"/>
    <w:rsid w:val="002E58B5"/>
    <w:rsid w:val="004841FD"/>
    <w:rsid w:val="00486550"/>
    <w:rsid w:val="004A401A"/>
    <w:rsid w:val="00547FEF"/>
    <w:rsid w:val="005B495B"/>
    <w:rsid w:val="006B3AA8"/>
    <w:rsid w:val="00790478"/>
    <w:rsid w:val="007E3D71"/>
    <w:rsid w:val="008055C1"/>
    <w:rsid w:val="00822618"/>
    <w:rsid w:val="00854E47"/>
    <w:rsid w:val="0086329A"/>
    <w:rsid w:val="00874085"/>
    <w:rsid w:val="00892FB9"/>
    <w:rsid w:val="00A46884"/>
    <w:rsid w:val="00A65247"/>
    <w:rsid w:val="00C20273"/>
    <w:rsid w:val="00C67D1E"/>
    <w:rsid w:val="00CD1A67"/>
    <w:rsid w:val="00DB0584"/>
    <w:rsid w:val="00E4532F"/>
    <w:rsid w:val="00EB2B00"/>
    <w:rsid w:val="00EF1ACB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E47"/>
  </w:style>
  <w:style w:type="paragraph" w:styleId="Pieddepage">
    <w:name w:val="footer"/>
    <w:basedOn w:val="Normal"/>
    <w:link w:val="PieddepageCar"/>
    <w:uiPriority w:val="99"/>
    <w:unhideWhenUsed/>
    <w:rsid w:val="008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E47"/>
  </w:style>
  <w:style w:type="paragraph" w:styleId="Textedebulles">
    <w:name w:val="Balloon Text"/>
    <w:basedOn w:val="Normal"/>
    <w:link w:val="TextedebullesCar"/>
    <w:uiPriority w:val="99"/>
    <w:semiHidden/>
    <w:unhideWhenUsed/>
    <w:rsid w:val="0085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E47"/>
    <w:rPr>
      <w:rFonts w:ascii="Tahoma" w:hAnsi="Tahoma" w:cs="Tahoma"/>
      <w:sz w:val="16"/>
      <w:szCs w:val="16"/>
    </w:rPr>
  </w:style>
  <w:style w:type="character" w:customStyle="1" w:styleId="textearticle">
    <w:name w:val="texte_article"/>
    <w:basedOn w:val="Policepardfaut"/>
    <w:rsid w:val="00DB0584"/>
  </w:style>
  <w:style w:type="character" w:styleId="Lienhypertexte">
    <w:name w:val="Hyperlink"/>
    <w:basedOn w:val="Policepardfaut"/>
    <w:uiPriority w:val="99"/>
    <w:unhideWhenUsed/>
    <w:rsid w:val="00DB05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A6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02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02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027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E47"/>
  </w:style>
  <w:style w:type="paragraph" w:styleId="Pieddepage">
    <w:name w:val="footer"/>
    <w:basedOn w:val="Normal"/>
    <w:link w:val="PieddepageCar"/>
    <w:uiPriority w:val="99"/>
    <w:unhideWhenUsed/>
    <w:rsid w:val="0085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E47"/>
  </w:style>
  <w:style w:type="paragraph" w:styleId="Textedebulles">
    <w:name w:val="Balloon Text"/>
    <w:basedOn w:val="Normal"/>
    <w:link w:val="TextedebullesCar"/>
    <w:uiPriority w:val="99"/>
    <w:semiHidden/>
    <w:unhideWhenUsed/>
    <w:rsid w:val="0085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E47"/>
    <w:rPr>
      <w:rFonts w:ascii="Tahoma" w:hAnsi="Tahoma" w:cs="Tahoma"/>
      <w:sz w:val="16"/>
      <w:szCs w:val="16"/>
    </w:rPr>
  </w:style>
  <w:style w:type="character" w:customStyle="1" w:styleId="textearticle">
    <w:name w:val="texte_article"/>
    <w:basedOn w:val="Policepardfaut"/>
    <w:rsid w:val="00DB0584"/>
  </w:style>
  <w:style w:type="character" w:styleId="Lienhypertexte">
    <w:name w:val="Hyperlink"/>
    <w:basedOn w:val="Policepardfaut"/>
    <w:uiPriority w:val="99"/>
    <w:unhideWhenUsed/>
    <w:rsid w:val="00DB05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A6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02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02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027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B66A-8911-4069-8A0C-FDE487B3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2017-06-19T07:54:00Z</cp:lastPrinted>
  <dcterms:created xsi:type="dcterms:W3CDTF">2017-06-19T07:54:00Z</dcterms:created>
  <dcterms:modified xsi:type="dcterms:W3CDTF">2017-06-22T07:29:00Z</dcterms:modified>
</cp:coreProperties>
</file>