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CC158" w14:textId="3A493F82" w:rsidR="00AA2838" w:rsidRPr="000E6955" w:rsidRDefault="00AA2838" w:rsidP="00AA2838">
      <w:pPr>
        <w:pStyle w:val="a4"/>
        <w:jc w:val="right"/>
        <w:rPr>
          <w:b/>
          <w:bCs/>
          <w:sz w:val="28"/>
          <w:szCs w:val="28"/>
        </w:rPr>
      </w:pPr>
      <w:bookmarkStart w:id="0" w:name="NumDoc"/>
      <w:r w:rsidRPr="000E6955">
        <w:rPr>
          <w:szCs w:val="22"/>
        </w:rPr>
        <w:t xml:space="preserve">Réf. : </w:t>
      </w:r>
      <w:r w:rsidRPr="000E6955">
        <w:rPr>
          <w:b/>
          <w:bCs/>
          <w:sz w:val="28"/>
          <w:szCs w:val="28"/>
        </w:rPr>
        <w:t>BT.</w:t>
      </w:r>
      <w:r w:rsidR="00131862" w:rsidRPr="000E6955">
        <w:rPr>
          <w:b/>
          <w:bCs/>
          <w:sz w:val="28"/>
          <w:szCs w:val="28"/>
        </w:rPr>
        <w:t>A041</w:t>
      </w:r>
      <w:r w:rsidRPr="000E6955">
        <w:rPr>
          <w:b/>
          <w:bCs/>
          <w:szCs w:val="28"/>
        </w:rPr>
        <w:t>-01fr</w:t>
      </w:r>
      <w:r w:rsidRPr="000E6955">
        <w:rPr>
          <w:b/>
          <w:bCs/>
          <w:sz w:val="28"/>
          <w:szCs w:val="28"/>
        </w:rPr>
        <w:t xml:space="preserve"> </w:t>
      </w:r>
      <w:bookmarkEnd w:id="0"/>
    </w:p>
    <w:p w14:paraId="50424035" w14:textId="00F3E251" w:rsidR="00AA2838" w:rsidRPr="000E6955" w:rsidRDefault="00D675D0" w:rsidP="00AA2838">
      <w:pPr>
        <w:pStyle w:val="a4"/>
        <w:jc w:val="right"/>
        <w:rPr>
          <w:b/>
          <w:bCs/>
          <w:sz w:val="28"/>
          <w:szCs w:val="28"/>
        </w:rPr>
      </w:pPr>
      <w:r w:rsidRPr="000E6955">
        <w:rPr>
          <w:noProof/>
        </w:rPr>
        <w:drawing>
          <wp:anchor distT="0" distB="0" distL="114300" distR="114300" simplePos="0" relativeHeight="251658240" behindDoc="0" locked="0" layoutInCell="1" allowOverlap="1" wp14:anchorId="4E2FD841" wp14:editId="2CB42513">
            <wp:simplePos x="0" y="0"/>
            <wp:positionH relativeFrom="column">
              <wp:posOffset>4053205</wp:posOffset>
            </wp:positionH>
            <wp:positionV relativeFrom="paragraph">
              <wp:posOffset>1617980</wp:posOffset>
            </wp:positionV>
            <wp:extent cx="2044700" cy="768350"/>
            <wp:effectExtent l="0" t="0" r="0" b="0"/>
            <wp:wrapThrough wrapText="bothSides">
              <wp:wrapPolygon edited="0">
                <wp:start x="0" y="0"/>
                <wp:lineTo x="0" y="20886"/>
                <wp:lineTo x="21332" y="20886"/>
                <wp:lineTo x="21332" y="0"/>
                <wp:lineTo x="0" y="0"/>
              </wp:wrapPolygon>
            </wp:wrapThrough>
            <wp:docPr id="2" name="Image 2"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ficher l’image sour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44700" cy="768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2AB9" w:rsidRPr="000E6955">
        <w:rPr>
          <w:b/>
          <w:bCs/>
          <w:sz w:val="28"/>
          <w:szCs w:val="28"/>
        </w:rPr>
        <w:t xml:space="preserve">Accord d’entreprise : </w:t>
      </w:r>
      <w:r w:rsidR="0070624A" w:rsidRPr="000E6955">
        <w:rPr>
          <w:b/>
          <w:bCs/>
          <w:sz w:val="28"/>
          <w:szCs w:val="28"/>
        </w:rPr>
        <w:t>Qualité de Vie au Travail (QVCT)</w:t>
      </w:r>
    </w:p>
    <w:p w14:paraId="08FDCA14" w14:textId="77777777" w:rsidR="005D6BD8" w:rsidRPr="000E6955" w:rsidRDefault="005D6BD8" w:rsidP="005016F6">
      <w:pPr>
        <w:pStyle w:val="CorpsTexteI10BT"/>
      </w:pPr>
    </w:p>
    <w:p w14:paraId="0476EF4D" w14:textId="0EBF7E54" w:rsidR="007716A5" w:rsidRDefault="009012D0">
      <w:pPr>
        <w:pStyle w:val="10"/>
        <w:rPr>
          <w:rFonts w:asciiTheme="minorHAnsi" w:eastAsiaTheme="minorEastAsia" w:hAnsiTheme="minorHAnsi" w:cstheme="minorBidi"/>
          <w:b w:val="0"/>
          <w:bCs w:val="0"/>
          <w:caps w:val="0"/>
          <w:noProof/>
          <w:color w:val="auto"/>
          <w:sz w:val="22"/>
          <w:szCs w:val="22"/>
        </w:rPr>
      </w:pPr>
      <w:r w:rsidRPr="000E6955">
        <w:rPr>
          <w:b w:val="0"/>
          <w:bCs w:val="0"/>
          <w:caps w:val="0"/>
        </w:rPr>
        <w:fldChar w:fldCharType="begin"/>
      </w:r>
      <w:r w:rsidRPr="000E6955">
        <w:rPr>
          <w:b w:val="0"/>
          <w:bCs w:val="0"/>
          <w:caps w:val="0"/>
        </w:rPr>
        <w:instrText xml:space="preserve"> TOC \o "1-2" \n \h \z \u </w:instrText>
      </w:r>
      <w:r w:rsidRPr="000E6955">
        <w:rPr>
          <w:b w:val="0"/>
          <w:bCs w:val="0"/>
          <w:caps w:val="0"/>
        </w:rPr>
        <w:fldChar w:fldCharType="separate"/>
      </w:r>
      <w:hyperlink w:anchor="_Toc122001633" w:history="1">
        <w:r w:rsidR="007716A5" w:rsidRPr="00464E1D">
          <w:rPr>
            <w:rStyle w:val="-"/>
            <w:noProof/>
          </w:rPr>
          <w:t>PREAMBULE</w:t>
        </w:r>
      </w:hyperlink>
    </w:p>
    <w:p w14:paraId="61C6FDCA" w14:textId="2A75D680" w:rsidR="007716A5" w:rsidRDefault="007716A5">
      <w:pPr>
        <w:pStyle w:val="10"/>
        <w:tabs>
          <w:tab w:val="left" w:pos="440"/>
        </w:tabs>
        <w:rPr>
          <w:rFonts w:asciiTheme="minorHAnsi" w:eastAsiaTheme="minorEastAsia" w:hAnsiTheme="minorHAnsi" w:cstheme="minorBidi"/>
          <w:b w:val="0"/>
          <w:bCs w:val="0"/>
          <w:caps w:val="0"/>
          <w:noProof/>
          <w:color w:val="auto"/>
          <w:sz w:val="22"/>
          <w:szCs w:val="22"/>
        </w:rPr>
      </w:pPr>
      <w:hyperlink w:anchor="_Toc122001634" w:history="1">
        <w:r w:rsidRPr="00464E1D">
          <w:rPr>
            <w:rStyle w:val="-"/>
            <w:noProof/>
          </w:rPr>
          <w:t>1.</w:t>
        </w:r>
        <w:r>
          <w:rPr>
            <w:rFonts w:asciiTheme="minorHAnsi" w:eastAsiaTheme="minorEastAsia" w:hAnsiTheme="minorHAnsi" w:cstheme="minorBidi"/>
            <w:b w:val="0"/>
            <w:bCs w:val="0"/>
            <w:caps w:val="0"/>
            <w:noProof/>
            <w:color w:val="auto"/>
            <w:sz w:val="22"/>
            <w:szCs w:val="22"/>
          </w:rPr>
          <w:tab/>
        </w:r>
        <w:r w:rsidRPr="00464E1D">
          <w:rPr>
            <w:rStyle w:val="-"/>
            <w:noProof/>
          </w:rPr>
          <w:t>SANTE / SECURITE / CONDITIONS DE TRAVAIL</w:t>
        </w:r>
      </w:hyperlink>
    </w:p>
    <w:p w14:paraId="2A031DA7" w14:textId="32483921" w:rsidR="007716A5" w:rsidRDefault="007716A5">
      <w:pPr>
        <w:pStyle w:val="20"/>
        <w:tabs>
          <w:tab w:val="left" w:pos="880"/>
        </w:tabs>
        <w:rPr>
          <w:rFonts w:asciiTheme="minorHAnsi" w:eastAsiaTheme="minorEastAsia" w:hAnsiTheme="minorHAnsi" w:cstheme="minorBidi"/>
          <w:smallCaps w:val="0"/>
          <w:noProof/>
          <w:color w:val="auto"/>
          <w:sz w:val="22"/>
          <w:szCs w:val="22"/>
        </w:rPr>
      </w:pPr>
      <w:hyperlink w:anchor="_Toc122001635" w:history="1">
        <w:r w:rsidRPr="00464E1D">
          <w:rPr>
            <w:rStyle w:val="-"/>
            <w:noProof/>
          </w:rPr>
          <w:t>1.1.</w:t>
        </w:r>
        <w:r>
          <w:rPr>
            <w:rFonts w:asciiTheme="minorHAnsi" w:eastAsiaTheme="minorEastAsia" w:hAnsiTheme="minorHAnsi" w:cstheme="minorBidi"/>
            <w:smallCaps w:val="0"/>
            <w:noProof/>
            <w:color w:val="auto"/>
            <w:sz w:val="22"/>
            <w:szCs w:val="22"/>
          </w:rPr>
          <w:tab/>
        </w:r>
        <w:r w:rsidRPr="00464E1D">
          <w:rPr>
            <w:rStyle w:val="-"/>
            <w:noProof/>
          </w:rPr>
          <w:t>La Procédure « Gérer les cas d’urgence et les situations dangereuses »</w:t>
        </w:r>
      </w:hyperlink>
    </w:p>
    <w:p w14:paraId="54955F64" w14:textId="67082846" w:rsidR="007716A5" w:rsidRDefault="007716A5">
      <w:pPr>
        <w:pStyle w:val="20"/>
        <w:tabs>
          <w:tab w:val="left" w:pos="880"/>
        </w:tabs>
        <w:rPr>
          <w:rFonts w:asciiTheme="minorHAnsi" w:eastAsiaTheme="minorEastAsia" w:hAnsiTheme="minorHAnsi" w:cstheme="minorBidi"/>
          <w:smallCaps w:val="0"/>
          <w:noProof/>
          <w:color w:val="auto"/>
          <w:sz w:val="22"/>
          <w:szCs w:val="22"/>
        </w:rPr>
      </w:pPr>
      <w:hyperlink w:anchor="_Toc122001636" w:history="1">
        <w:r w:rsidRPr="00464E1D">
          <w:rPr>
            <w:rStyle w:val="-"/>
            <w:rFonts w:eastAsia="Calibri"/>
            <w:noProof/>
          </w:rPr>
          <w:t>1.2.</w:t>
        </w:r>
        <w:r>
          <w:rPr>
            <w:rFonts w:asciiTheme="minorHAnsi" w:eastAsiaTheme="minorEastAsia" w:hAnsiTheme="minorHAnsi" w:cstheme="minorBidi"/>
            <w:smallCaps w:val="0"/>
            <w:noProof/>
            <w:color w:val="auto"/>
            <w:sz w:val="22"/>
            <w:szCs w:val="22"/>
          </w:rPr>
          <w:tab/>
        </w:r>
        <w:r w:rsidRPr="00464E1D">
          <w:rPr>
            <w:rStyle w:val="-"/>
            <w:rFonts w:eastAsia="Calibri"/>
            <w:noProof/>
          </w:rPr>
          <w:t>Le PAPRIPACT</w:t>
        </w:r>
      </w:hyperlink>
    </w:p>
    <w:p w14:paraId="0179635D" w14:textId="2FDAC42A" w:rsidR="007716A5" w:rsidRDefault="007716A5">
      <w:pPr>
        <w:pStyle w:val="20"/>
        <w:tabs>
          <w:tab w:val="left" w:pos="880"/>
        </w:tabs>
        <w:rPr>
          <w:rFonts w:asciiTheme="minorHAnsi" w:eastAsiaTheme="minorEastAsia" w:hAnsiTheme="minorHAnsi" w:cstheme="minorBidi"/>
          <w:smallCaps w:val="0"/>
          <w:noProof/>
          <w:color w:val="auto"/>
          <w:sz w:val="22"/>
          <w:szCs w:val="22"/>
        </w:rPr>
      </w:pPr>
      <w:hyperlink w:anchor="_Toc122001637" w:history="1">
        <w:r w:rsidRPr="00464E1D">
          <w:rPr>
            <w:rStyle w:val="-"/>
            <w:noProof/>
          </w:rPr>
          <w:t>1.3.</w:t>
        </w:r>
        <w:r>
          <w:rPr>
            <w:rFonts w:asciiTheme="minorHAnsi" w:eastAsiaTheme="minorEastAsia" w:hAnsiTheme="minorHAnsi" w:cstheme="minorBidi"/>
            <w:smallCaps w:val="0"/>
            <w:noProof/>
            <w:color w:val="auto"/>
            <w:sz w:val="22"/>
            <w:szCs w:val="22"/>
          </w:rPr>
          <w:tab/>
        </w:r>
        <w:r w:rsidRPr="00464E1D">
          <w:rPr>
            <w:rStyle w:val="-"/>
            <w:noProof/>
          </w:rPr>
          <w:t>Les RPS : sensibilisation des managers</w:t>
        </w:r>
      </w:hyperlink>
    </w:p>
    <w:p w14:paraId="28E586B5" w14:textId="1AA75DFF" w:rsidR="007716A5" w:rsidRDefault="007716A5">
      <w:pPr>
        <w:pStyle w:val="20"/>
        <w:tabs>
          <w:tab w:val="left" w:pos="880"/>
        </w:tabs>
        <w:rPr>
          <w:rFonts w:asciiTheme="minorHAnsi" w:eastAsiaTheme="minorEastAsia" w:hAnsiTheme="minorHAnsi" w:cstheme="minorBidi"/>
          <w:smallCaps w:val="0"/>
          <w:noProof/>
          <w:color w:val="auto"/>
          <w:sz w:val="22"/>
          <w:szCs w:val="22"/>
        </w:rPr>
      </w:pPr>
      <w:hyperlink w:anchor="_Toc122001638" w:history="1">
        <w:r w:rsidRPr="00464E1D">
          <w:rPr>
            <w:rStyle w:val="-"/>
            <w:noProof/>
          </w:rPr>
          <w:t>1.4.</w:t>
        </w:r>
        <w:r>
          <w:rPr>
            <w:rFonts w:asciiTheme="minorHAnsi" w:eastAsiaTheme="minorEastAsia" w:hAnsiTheme="minorHAnsi" w:cstheme="minorBidi"/>
            <w:smallCaps w:val="0"/>
            <w:noProof/>
            <w:color w:val="auto"/>
            <w:sz w:val="22"/>
            <w:szCs w:val="22"/>
          </w:rPr>
          <w:tab/>
        </w:r>
        <w:r w:rsidRPr="00464E1D">
          <w:rPr>
            <w:rStyle w:val="-"/>
            <w:noProof/>
          </w:rPr>
          <w:t>Le Baromètre Stress</w:t>
        </w:r>
      </w:hyperlink>
    </w:p>
    <w:p w14:paraId="086D8FC5" w14:textId="6E820CFE" w:rsidR="007716A5" w:rsidRDefault="007716A5">
      <w:pPr>
        <w:pStyle w:val="20"/>
        <w:tabs>
          <w:tab w:val="left" w:pos="880"/>
        </w:tabs>
        <w:rPr>
          <w:rFonts w:asciiTheme="minorHAnsi" w:eastAsiaTheme="minorEastAsia" w:hAnsiTheme="minorHAnsi" w:cstheme="minorBidi"/>
          <w:smallCaps w:val="0"/>
          <w:noProof/>
          <w:color w:val="auto"/>
          <w:sz w:val="22"/>
          <w:szCs w:val="22"/>
        </w:rPr>
      </w:pPr>
      <w:hyperlink w:anchor="_Toc122001639" w:history="1">
        <w:r w:rsidRPr="00464E1D">
          <w:rPr>
            <w:rStyle w:val="-"/>
            <w:noProof/>
          </w:rPr>
          <w:t>1.5.</w:t>
        </w:r>
        <w:r>
          <w:rPr>
            <w:rFonts w:asciiTheme="minorHAnsi" w:eastAsiaTheme="minorEastAsia" w:hAnsiTheme="minorHAnsi" w:cstheme="minorBidi"/>
            <w:smallCaps w:val="0"/>
            <w:noProof/>
            <w:color w:val="auto"/>
            <w:sz w:val="22"/>
            <w:szCs w:val="22"/>
          </w:rPr>
          <w:tab/>
        </w:r>
        <w:r w:rsidRPr="00464E1D">
          <w:rPr>
            <w:rStyle w:val="-"/>
            <w:noProof/>
          </w:rPr>
          <w:t>Maladies Professionnelles (MP)</w:t>
        </w:r>
      </w:hyperlink>
    </w:p>
    <w:p w14:paraId="6E313884" w14:textId="4B7F1C04" w:rsidR="007716A5" w:rsidRDefault="007716A5">
      <w:pPr>
        <w:pStyle w:val="20"/>
        <w:tabs>
          <w:tab w:val="left" w:pos="880"/>
        </w:tabs>
        <w:rPr>
          <w:rFonts w:asciiTheme="minorHAnsi" w:eastAsiaTheme="minorEastAsia" w:hAnsiTheme="minorHAnsi" w:cstheme="minorBidi"/>
          <w:smallCaps w:val="0"/>
          <w:noProof/>
          <w:color w:val="auto"/>
          <w:sz w:val="22"/>
          <w:szCs w:val="22"/>
        </w:rPr>
      </w:pPr>
      <w:hyperlink w:anchor="_Toc122001640" w:history="1">
        <w:r w:rsidRPr="00464E1D">
          <w:rPr>
            <w:rStyle w:val="-"/>
            <w:noProof/>
          </w:rPr>
          <w:t>1.6.</w:t>
        </w:r>
        <w:r>
          <w:rPr>
            <w:rFonts w:asciiTheme="minorHAnsi" w:eastAsiaTheme="minorEastAsia" w:hAnsiTheme="minorHAnsi" w:cstheme="minorBidi"/>
            <w:smallCaps w:val="0"/>
            <w:noProof/>
            <w:color w:val="auto"/>
            <w:sz w:val="22"/>
            <w:szCs w:val="22"/>
          </w:rPr>
          <w:tab/>
        </w:r>
        <w:r w:rsidRPr="00464E1D">
          <w:rPr>
            <w:rStyle w:val="-"/>
            <w:noProof/>
          </w:rPr>
          <w:t>Les sous-traitants : rappel de règles de Sécurité</w:t>
        </w:r>
      </w:hyperlink>
    </w:p>
    <w:p w14:paraId="71520E22" w14:textId="7129AA8B" w:rsidR="007716A5" w:rsidRDefault="007716A5">
      <w:pPr>
        <w:pStyle w:val="10"/>
        <w:tabs>
          <w:tab w:val="left" w:pos="440"/>
        </w:tabs>
        <w:rPr>
          <w:rFonts w:asciiTheme="minorHAnsi" w:eastAsiaTheme="minorEastAsia" w:hAnsiTheme="minorHAnsi" w:cstheme="minorBidi"/>
          <w:b w:val="0"/>
          <w:bCs w:val="0"/>
          <w:caps w:val="0"/>
          <w:noProof/>
          <w:color w:val="auto"/>
          <w:sz w:val="22"/>
          <w:szCs w:val="22"/>
        </w:rPr>
      </w:pPr>
      <w:hyperlink w:anchor="_Toc122001641" w:history="1">
        <w:r w:rsidRPr="00464E1D">
          <w:rPr>
            <w:rStyle w:val="-"/>
            <w:noProof/>
          </w:rPr>
          <w:t>2.</w:t>
        </w:r>
        <w:r>
          <w:rPr>
            <w:rFonts w:asciiTheme="minorHAnsi" w:eastAsiaTheme="minorEastAsia" w:hAnsiTheme="minorHAnsi" w:cstheme="minorBidi"/>
            <w:b w:val="0"/>
            <w:bCs w:val="0"/>
            <w:caps w:val="0"/>
            <w:noProof/>
            <w:color w:val="auto"/>
            <w:sz w:val="22"/>
            <w:szCs w:val="22"/>
          </w:rPr>
          <w:tab/>
        </w:r>
        <w:r w:rsidRPr="00464E1D">
          <w:rPr>
            <w:rStyle w:val="-"/>
            <w:noProof/>
          </w:rPr>
          <w:t>Articulation vie professionnelle / personnelle</w:t>
        </w:r>
      </w:hyperlink>
    </w:p>
    <w:p w14:paraId="73F51F6A" w14:textId="6D5BCBC5" w:rsidR="007716A5" w:rsidRDefault="007716A5">
      <w:pPr>
        <w:pStyle w:val="20"/>
        <w:tabs>
          <w:tab w:val="left" w:pos="880"/>
        </w:tabs>
        <w:rPr>
          <w:rFonts w:asciiTheme="minorHAnsi" w:eastAsiaTheme="minorEastAsia" w:hAnsiTheme="minorHAnsi" w:cstheme="minorBidi"/>
          <w:smallCaps w:val="0"/>
          <w:noProof/>
          <w:color w:val="auto"/>
          <w:sz w:val="22"/>
          <w:szCs w:val="22"/>
        </w:rPr>
      </w:pPr>
      <w:hyperlink w:anchor="_Toc122001642" w:history="1">
        <w:r w:rsidRPr="00464E1D">
          <w:rPr>
            <w:rStyle w:val="-"/>
            <w:rFonts w:eastAsia="Calibri"/>
            <w:noProof/>
          </w:rPr>
          <w:t>2.1.</w:t>
        </w:r>
        <w:r>
          <w:rPr>
            <w:rFonts w:asciiTheme="minorHAnsi" w:eastAsiaTheme="minorEastAsia" w:hAnsiTheme="minorHAnsi" w:cstheme="minorBidi"/>
            <w:smallCaps w:val="0"/>
            <w:noProof/>
            <w:color w:val="auto"/>
            <w:sz w:val="22"/>
            <w:szCs w:val="22"/>
          </w:rPr>
          <w:tab/>
        </w:r>
        <w:r w:rsidRPr="00464E1D">
          <w:rPr>
            <w:rStyle w:val="-"/>
            <w:rFonts w:eastAsia="Calibri"/>
            <w:noProof/>
          </w:rPr>
          <w:t>La Charte Télétravail</w:t>
        </w:r>
      </w:hyperlink>
    </w:p>
    <w:p w14:paraId="1DC32975" w14:textId="5EF03B09" w:rsidR="007716A5" w:rsidRDefault="007716A5">
      <w:pPr>
        <w:pStyle w:val="20"/>
        <w:tabs>
          <w:tab w:val="left" w:pos="880"/>
        </w:tabs>
        <w:rPr>
          <w:rFonts w:asciiTheme="minorHAnsi" w:eastAsiaTheme="minorEastAsia" w:hAnsiTheme="minorHAnsi" w:cstheme="minorBidi"/>
          <w:smallCaps w:val="0"/>
          <w:noProof/>
          <w:color w:val="auto"/>
          <w:sz w:val="22"/>
          <w:szCs w:val="22"/>
        </w:rPr>
      </w:pPr>
      <w:hyperlink w:anchor="_Toc122001643" w:history="1">
        <w:r w:rsidRPr="00464E1D">
          <w:rPr>
            <w:rStyle w:val="-"/>
            <w:rFonts w:eastAsia="Calibri"/>
            <w:noProof/>
          </w:rPr>
          <w:t>2.2.</w:t>
        </w:r>
        <w:r>
          <w:rPr>
            <w:rFonts w:asciiTheme="minorHAnsi" w:eastAsiaTheme="minorEastAsia" w:hAnsiTheme="minorHAnsi" w:cstheme="minorBidi"/>
            <w:smallCaps w:val="0"/>
            <w:noProof/>
            <w:color w:val="auto"/>
            <w:sz w:val="22"/>
            <w:szCs w:val="22"/>
          </w:rPr>
          <w:tab/>
        </w:r>
        <w:r w:rsidRPr="00464E1D">
          <w:rPr>
            <w:rStyle w:val="-"/>
            <w:rFonts w:eastAsia="Calibri"/>
            <w:noProof/>
          </w:rPr>
          <w:t>Le droit à la déconnexion</w:t>
        </w:r>
      </w:hyperlink>
    </w:p>
    <w:p w14:paraId="631A4265" w14:textId="77FE4690" w:rsidR="007716A5" w:rsidRDefault="007716A5">
      <w:pPr>
        <w:pStyle w:val="10"/>
        <w:tabs>
          <w:tab w:val="left" w:pos="440"/>
        </w:tabs>
        <w:rPr>
          <w:rFonts w:asciiTheme="minorHAnsi" w:eastAsiaTheme="minorEastAsia" w:hAnsiTheme="minorHAnsi" w:cstheme="minorBidi"/>
          <w:b w:val="0"/>
          <w:bCs w:val="0"/>
          <w:caps w:val="0"/>
          <w:noProof/>
          <w:color w:val="auto"/>
          <w:sz w:val="22"/>
          <w:szCs w:val="22"/>
        </w:rPr>
      </w:pPr>
      <w:hyperlink w:anchor="_Toc122001644" w:history="1">
        <w:r w:rsidRPr="00464E1D">
          <w:rPr>
            <w:rStyle w:val="-"/>
            <w:noProof/>
          </w:rPr>
          <w:t>3.</w:t>
        </w:r>
        <w:r>
          <w:rPr>
            <w:rFonts w:asciiTheme="minorHAnsi" w:eastAsiaTheme="minorEastAsia" w:hAnsiTheme="minorHAnsi" w:cstheme="minorBidi"/>
            <w:b w:val="0"/>
            <w:bCs w:val="0"/>
            <w:caps w:val="0"/>
            <w:noProof/>
            <w:color w:val="auto"/>
            <w:sz w:val="22"/>
            <w:szCs w:val="22"/>
          </w:rPr>
          <w:tab/>
        </w:r>
        <w:r w:rsidRPr="00464E1D">
          <w:rPr>
            <w:rStyle w:val="-"/>
            <w:noProof/>
          </w:rPr>
          <w:t>Egalite professionnelle Femmes / Hommes (f/h)</w:t>
        </w:r>
      </w:hyperlink>
    </w:p>
    <w:p w14:paraId="0172152E" w14:textId="40FBAAB8" w:rsidR="007716A5" w:rsidRDefault="007716A5">
      <w:pPr>
        <w:pStyle w:val="20"/>
        <w:tabs>
          <w:tab w:val="left" w:pos="880"/>
        </w:tabs>
        <w:rPr>
          <w:rFonts w:asciiTheme="minorHAnsi" w:eastAsiaTheme="minorEastAsia" w:hAnsiTheme="minorHAnsi" w:cstheme="minorBidi"/>
          <w:smallCaps w:val="0"/>
          <w:noProof/>
          <w:color w:val="auto"/>
          <w:sz w:val="22"/>
          <w:szCs w:val="22"/>
        </w:rPr>
      </w:pPr>
      <w:hyperlink w:anchor="_Toc122001645" w:history="1">
        <w:r w:rsidRPr="00464E1D">
          <w:rPr>
            <w:rStyle w:val="-"/>
            <w:noProof/>
          </w:rPr>
          <w:t>3.1.</w:t>
        </w:r>
        <w:r>
          <w:rPr>
            <w:rFonts w:asciiTheme="minorHAnsi" w:eastAsiaTheme="minorEastAsia" w:hAnsiTheme="minorHAnsi" w:cstheme="minorBidi"/>
            <w:smallCaps w:val="0"/>
            <w:noProof/>
            <w:color w:val="auto"/>
            <w:sz w:val="22"/>
            <w:szCs w:val="22"/>
          </w:rPr>
          <w:tab/>
        </w:r>
        <w:r w:rsidRPr="00464E1D">
          <w:rPr>
            <w:rStyle w:val="-"/>
            <w:noProof/>
          </w:rPr>
          <w:t>Le recrutement : la mixité des emplois</w:t>
        </w:r>
      </w:hyperlink>
    </w:p>
    <w:p w14:paraId="10A33C30" w14:textId="22A7EDD9" w:rsidR="007716A5" w:rsidRDefault="007716A5">
      <w:pPr>
        <w:pStyle w:val="20"/>
        <w:tabs>
          <w:tab w:val="left" w:pos="880"/>
        </w:tabs>
        <w:rPr>
          <w:rFonts w:asciiTheme="minorHAnsi" w:eastAsiaTheme="minorEastAsia" w:hAnsiTheme="minorHAnsi" w:cstheme="minorBidi"/>
          <w:smallCaps w:val="0"/>
          <w:noProof/>
          <w:color w:val="auto"/>
          <w:sz w:val="22"/>
          <w:szCs w:val="22"/>
        </w:rPr>
      </w:pPr>
      <w:hyperlink w:anchor="_Toc122001646" w:history="1">
        <w:r w:rsidRPr="00464E1D">
          <w:rPr>
            <w:rStyle w:val="-"/>
            <w:rFonts w:eastAsia="Calibri"/>
            <w:noProof/>
          </w:rPr>
          <w:t>3.2.</w:t>
        </w:r>
        <w:r>
          <w:rPr>
            <w:rFonts w:asciiTheme="minorHAnsi" w:eastAsiaTheme="minorEastAsia" w:hAnsiTheme="minorHAnsi" w:cstheme="minorBidi"/>
            <w:smallCaps w:val="0"/>
            <w:noProof/>
            <w:color w:val="auto"/>
            <w:sz w:val="22"/>
            <w:szCs w:val="22"/>
          </w:rPr>
          <w:tab/>
        </w:r>
        <w:r w:rsidRPr="00464E1D">
          <w:rPr>
            <w:rStyle w:val="-"/>
            <w:rFonts w:eastAsia="Calibri"/>
            <w:noProof/>
          </w:rPr>
          <w:t>L’aménagement des postes de travail</w:t>
        </w:r>
      </w:hyperlink>
    </w:p>
    <w:p w14:paraId="6148B2F0" w14:textId="38AFDB6F" w:rsidR="007716A5" w:rsidRDefault="007716A5">
      <w:pPr>
        <w:pStyle w:val="20"/>
        <w:tabs>
          <w:tab w:val="left" w:pos="880"/>
        </w:tabs>
        <w:rPr>
          <w:rFonts w:asciiTheme="minorHAnsi" w:eastAsiaTheme="minorEastAsia" w:hAnsiTheme="minorHAnsi" w:cstheme="minorBidi"/>
          <w:smallCaps w:val="0"/>
          <w:noProof/>
          <w:color w:val="auto"/>
          <w:sz w:val="22"/>
          <w:szCs w:val="22"/>
        </w:rPr>
      </w:pPr>
      <w:hyperlink w:anchor="_Toc122001647" w:history="1">
        <w:r w:rsidRPr="00464E1D">
          <w:rPr>
            <w:rStyle w:val="-"/>
            <w:noProof/>
          </w:rPr>
          <w:t>3.3.</w:t>
        </w:r>
        <w:r>
          <w:rPr>
            <w:rFonts w:asciiTheme="minorHAnsi" w:eastAsiaTheme="minorEastAsia" w:hAnsiTheme="minorHAnsi" w:cstheme="minorBidi"/>
            <w:smallCaps w:val="0"/>
            <w:noProof/>
            <w:color w:val="auto"/>
            <w:sz w:val="22"/>
            <w:szCs w:val="22"/>
          </w:rPr>
          <w:tab/>
        </w:r>
        <w:r w:rsidRPr="00464E1D">
          <w:rPr>
            <w:rStyle w:val="-"/>
            <w:noProof/>
          </w:rPr>
          <w:t>La rémunération</w:t>
        </w:r>
      </w:hyperlink>
    </w:p>
    <w:p w14:paraId="3D057AB1" w14:textId="1029E4FC" w:rsidR="007716A5" w:rsidRDefault="007716A5">
      <w:pPr>
        <w:pStyle w:val="20"/>
        <w:tabs>
          <w:tab w:val="left" w:pos="880"/>
        </w:tabs>
        <w:rPr>
          <w:rFonts w:asciiTheme="minorHAnsi" w:eastAsiaTheme="minorEastAsia" w:hAnsiTheme="minorHAnsi" w:cstheme="minorBidi"/>
          <w:smallCaps w:val="0"/>
          <w:noProof/>
          <w:color w:val="auto"/>
          <w:sz w:val="22"/>
          <w:szCs w:val="22"/>
        </w:rPr>
      </w:pPr>
      <w:hyperlink w:anchor="_Toc122001648" w:history="1">
        <w:r w:rsidRPr="00464E1D">
          <w:rPr>
            <w:rStyle w:val="-"/>
            <w:noProof/>
          </w:rPr>
          <w:t>3.4.</w:t>
        </w:r>
        <w:r>
          <w:rPr>
            <w:rFonts w:asciiTheme="minorHAnsi" w:eastAsiaTheme="minorEastAsia" w:hAnsiTheme="minorHAnsi" w:cstheme="minorBidi"/>
            <w:smallCaps w:val="0"/>
            <w:noProof/>
            <w:color w:val="auto"/>
            <w:sz w:val="22"/>
            <w:szCs w:val="22"/>
          </w:rPr>
          <w:tab/>
        </w:r>
        <w:r w:rsidRPr="00464E1D">
          <w:rPr>
            <w:rStyle w:val="-"/>
            <w:noProof/>
          </w:rPr>
          <w:t>La Formation Professionnelle</w:t>
        </w:r>
      </w:hyperlink>
    </w:p>
    <w:p w14:paraId="16409DD6" w14:textId="3730553A" w:rsidR="007716A5" w:rsidRDefault="007716A5">
      <w:pPr>
        <w:pStyle w:val="10"/>
        <w:tabs>
          <w:tab w:val="left" w:pos="440"/>
        </w:tabs>
        <w:rPr>
          <w:rFonts w:asciiTheme="minorHAnsi" w:eastAsiaTheme="minorEastAsia" w:hAnsiTheme="minorHAnsi" w:cstheme="minorBidi"/>
          <w:b w:val="0"/>
          <w:bCs w:val="0"/>
          <w:caps w:val="0"/>
          <w:noProof/>
          <w:color w:val="auto"/>
          <w:sz w:val="22"/>
          <w:szCs w:val="22"/>
        </w:rPr>
      </w:pPr>
      <w:hyperlink w:anchor="_Toc122001649" w:history="1">
        <w:r w:rsidRPr="00464E1D">
          <w:rPr>
            <w:rStyle w:val="-"/>
            <w:noProof/>
          </w:rPr>
          <w:t>4.</w:t>
        </w:r>
        <w:r>
          <w:rPr>
            <w:rFonts w:asciiTheme="minorHAnsi" w:eastAsiaTheme="minorEastAsia" w:hAnsiTheme="minorHAnsi" w:cstheme="minorBidi"/>
            <w:b w:val="0"/>
            <w:bCs w:val="0"/>
            <w:caps w:val="0"/>
            <w:noProof/>
            <w:color w:val="auto"/>
            <w:sz w:val="22"/>
            <w:szCs w:val="22"/>
          </w:rPr>
          <w:tab/>
        </w:r>
        <w:r w:rsidRPr="00464E1D">
          <w:rPr>
            <w:rStyle w:val="-"/>
            <w:noProof/>
          </w:rPr>
          <w:t>Carriere</w:t>
        </w:r>
      </w:hyperlink>
    </w:p>
    <w:p w14:paraId="47F3E3CC" w14:textId="1388D771" w:rsidR="007716A5" w:rsidRDefault="007716A5">
      <w:pPr>
        <w:pStyle w:val="20"/>
        <w:tabs>
          <w:tab w:val="left" w:pos="880"/>
        </w:tabs>
        <w:rPr>
          <w:rFonts w:asciiTheme="minorHAnsi" w:eastAsiaTheme="minorEastAsia" w:hAnsiTheme="minorHAnsi" w:cstheme="minorBidi"/>
          <w:smallCaps w:val="0"/>
          <w:noProof/>
          <w:color w:val="auto"/>
          <w:sz w:val="22"/>
          <w:szCs w:val="22"/>
        </w:rPr>
      </w:pPr>
      <w:hyperlink w:anchor="_Toc122001650" w:history="1">
        <w:r w:rsidRPr="00464E1D">
          <w:rPr>
            <w:rStyle w:val="-"/>
            <w:noProof/>
          </w:rPr>
          <w:t>4.1.</w:t>
        </w:r>
        <w:r>
          <w:rPr>
            <w:rFonts w:asciiTheme="minorHAnsi" w:eastAsiaTheme="minorEastAsia" w:hAnsiTheme="minorHAnsi" w:cstheme="minorBidi"/>
            <w:smallCaps w:val="0"/>
            <w:noProof/>
            <w:color w:val="auto"/>
            <w:sz w:val="22"/>
            <w:szCs w:val="22"/>
          </w:rPr>
          <w:tab/>
        </w:r>
        <w:r w:rsidRPr="00464E1D">
          <w:rPr>
            <w:rStyle w:val="-"/>
            <w:noProof/>
          </w:rPr>
          <w:t>Recruter &amp; Intégrer</w:t>
        </w:r>
      </w:hyperlink>
    </w:p>
    <w:p w14:paraId="7276E6C4" w14:textId="1FC3C53C" w:rsidR="007716A5" w:rsidRDefault="007716A5">
      <w:pPr>
        <w:pStyle w:val="20"/>
        <w:tabs>
          <w:tab w:val="left" w:pos="880"/>
        </w:tabs>
        <w:rPr>
          <w:rFonts w:asciiTheme="minorHAnsi" w:eastAsiaTheme="minorEastAsia" w:hAnsiTheme="minorHAnsi" w:cstheme="minorBidi"/>
          <w:smallCaps w:val="0"/>
          <w:noProof/>
          <w:color w:val="auto"/>
          <w:sz w:val="22"/>
          <w:szCs w:val="22"/>
        </w:rPr>
      </w:pPr>
      <w:hyperlink w:anchor="_Toc122001651" w:history="1">
        <w:r w:rsidRPr="00464E1D">
          <w:rPr>
            <w:rStyle w:val="-"/>
            <w:noProof/>
          </w:rPr>
          <w:t>4.2.</w:t>
        </w:r>
        <w:r>
          <w:rPr>
            <w:rFonts w:asciiTheme="minorHAnsi" w:eastAsiaTheme="minorEastAsia" w:hAnsiTheme="minorHAnsi" w:cstheme="minorBidi"/>
            <w:smallCaps w:val="0"/>
            <w:noProof/>
            <w:color w:val="auto"/>
            <w:sz w:val="22"/>
            <w:szCs w:val="22"/>
          </w:rPr>
          <w:tab/>
        </w:r>
        <w:r w:rsidRPr="00464E1D">
          <w:rPr>
            <w:rStyle w:val="-"/>
            <w:noProof/>
          </w:rPr>
          <w:t>Evaluer</w:t>
        </w:r>
      </w:hyperlink>
    </w:p>
    <w:p w14:paraId="567FEF5A" w14:textId="2372CEE8" w:rsidR="007716A5" w:rsidRDefault="007716A5">
      <w:pPr>
        <w:pStyle w:val="20"/>
        <w:tabs>
          <w:tab w:val="left" w:pos="880"/>
        </w:tabs>
        <w:rPr>
          <w:rFonts w:asciiTheme="minorHAnsi" w:eastAsiaTheme="minorEastAsia" w:hAnsiTheme="minorHAnsi" w:cstheme="minorBidi"/>
          <w:smallCaps w:val="0"/>
          <w:noProof/>
          <w:color w:val="auto"/>
          <w:sz w:val="22"/>
          <w:szCs w:val="22"/>
        </w:rPr>
      </w:pPr>
      <w:hyperlink w:anchor="_Toc122001652" w:history="1">
        <w:r w:rsidRPr="00464E1D">
          <w:rPr>
            <w:rStyle w:val="-"/>
            <w:noProof/>
          </w:rPr>
          <w:t>4.3.</w:t>
        </w:r>
        <w:r>
          <w:rPr>
            <w:rFonts w:asciiTheme="minorHAnsi" w:eastAsiaTheme="minorEastAsia" w:hAnsiTheme="minorHAnsi" w:cstheme="minorBidi"/>
            <w:smallCaps w:val="0"/>
            <w:noProof/>
            <w:color w:val="auto"/>
            <w:sz w:val="22"/>
            <w:szCs w:val="22"/>
          </w:rPr>
          <w:tab/>
        </w:r>
        <w:r w:rsidRPr="00464E1D">
          <w:rPr>
            <w:rStyle w:val="-"/>
            <w:noProof/>
          </w:rPr>
          <w:t>Former &amp; Développer</w:t>
        </w:r>
      </w:hyperlink>
    </w:p>
    <w:p w14:paraId="050E3D2B" w14:textId="54063236" w:rsidR="007716A5" w:rsidRDefault="007716A5">
      <w:pPr>
        <w:pStyle w:val="20"/>
        <w:tabs>
          <w:tab w:val="left" w:pos="880"/>
        </w:tabs>
        <w:rPr>
          <w:rFonts w:asciiTheme="minorHAnsi" w:eastAsiaTheme="minorEastAsia" w:hAnsiTheme="minorHAnsi" w:cstheme="minorBidi"/>
          <w:smallCaps w:val="0"/>
          <w:noProof/>
          <w:color w:val="auto"/>
          <w:sz w:val="22"/>
          <w:szCs w:val="22"/>
        </w:rPr>
      </w:pPr>
      <w:hyperlink w:anchor="_Toc122001653" w:history="1">
        <w:r w:rsidRPr="00464E1D">
          <w:rPr>
            <w:rStyle w:val="-"/>
            <w:noProof/>
          </w:rPr>
          <w:t>4.4.</w:t>
        </w:r>
        <w:r>
          <w:rPr>
            <w:rFonts w:asciiTheme="minorHAnsi" w:eastAsiaTheme="minorEastAsia" w:hAnsiTheme="minorHAnsi" w:cstheme="minorBidi"/>
            <w:smallCaps w:val="0"/>
            <w:noProof/>
            <w:color w:val="auto"/>
            <w:sz w:val="22"/>
            <w:szCs w:val="22"/>
          </w:rPr>
          <w:tab/>
        </w:r>
        <w:r w:rsidRPr="00464E1D">
          <w:rPr>
            <w:rStyle w:val="-"/>
            <w:noProof/>
          </w:rPr>
          <w:t>Evoluer</w:t>
        </w:r>
      </w:hyperlink>
    </w:p>
    <w:p w14:paraId="0E4D5C90" w14:textId="692453B5" w:rsidR="007716A5" w:rsidRDefault="007716A5">
      <w:pPr>
        <w:pStyle w:val="10"/>
        <w:tabs>
          <w:tab w:val="left" w:pos="440"/>
        </w:tabs>
        <w:rPr>
          <w:rFonts w:asciiTheme="minorHAnsi" w:eastAsiaTheme="minorEastAsia" w:hAnsiTheme="minorHAnsi" w:cstheme="minorBidi"/>
          <w:b w:val="0"/>
          <w:bCs w:val="0"/>
          <w:caps w:val="0"/>
          <w:noProof/>
          <w:color w:val="auto"/>
          <w:sz w:val="22"/>
          <w:szCs w:val="22"/>
        </w:rPr>
      </w:pPr>
      <w:hyperlink w:anchor="_Toc122001654" w:history="1">
        <w:r w:rsidRPr="00464E1D">
          <w:rPr>
            <w:rStyle w:val="-"/>
            <w:noProof/>
          </w:rPr>
          <w:t>5.</w:t>
        </w:r>
        <w:r>
          <w:rPr>
            <w:rFonts w:asciiTheme="minorHAnsi" w:eastAsiaTheme="minorEastAsia" w:hAnsiTheme="minorHAnsi" w:cstheme="minorBidi"/>
            <w:b w:val="0"/>
            <w:bCs w:val="0"/>
            <w:caps w:val="0"/>
            <w:noProof/>
            <w:color w:val="auto"/>
            <w:sz w:val="22"/>
            <w:szCs w:val="22"/>
          </w:rPr>
          <w:tab/>
        </w:r>
        <w:r w:rsidRPr="00464E1D">
          <w:rPr>
            <w:rStyle w:val="-"/>
            <w:noProof/>
          </w:rPr>
          <w:t>SUIVI / PILOTAGE DE L’ACCORD</w:t>
        </w:r>
      </w:hyperlink>
    </w:p>
    <w:p w14:paraId="48E4ADCB" w14:textId="34512E8C" w:rsidR="007716A5" w:rsidRDefault="007716A5">
      <w:pPr>
        <w:pStyle w:val="10"/>
        <w:tabs>
          <w:tab w:val="left" w:pos="440"/>
        </w:tabs>
        <w:rPr>
          <w:rFonts w:asciiTheme="minorHAnsi" w:eastAsiaTheme="minorEastAsia" w:hAnsiTheme="minorHAnsi" w:cstheme="minorBidi"/>
          <w:b w:val="0"/>
          <w:bCs w:val="0"/>
          <w:caps w:val="0"/>
          <w:noProof/>
          <w:color w:val="auto"/>
          <w:sz w:val="22"/>
          <w:szCs w:val="22"/>
        </w:rPr>
      </w:pPr>
      <w:hyperlink w:anchor="_Toc122001655" w:history="1">
        <w:r w:rsidRPr="00464E1D">
          <w:rPr>
            <w:rStyle w:val="-"/>
            <w:noProof/>
          </w:rPr>
          <w:t>6.</w:t>
        </w:r>
        <w:r>
          <w:rPr>
            <w:rFonts w:asciiTheme="minorHAnsi" w:eastAsiaTheme="minorEastAsia" w:hAnsiTheme="minorHAnsi" w:cstheme="minorBidi"/>
            <w:b w:val="0"/>
            <w:bCs w:val="0"/>
            <w:caps w:val="0"/>
            <w:noProof/>
            <w:color w:val="auto"/>
            <w:sz w:val="22"/>
            <w:szCs w:val="22"/>
          </w:rPr>
          <w:tab/>
        </w:r>
        <w:r w:rsidRPr="00464E1D">
          <w:rPr>
            <w:rStyle w:val="-"/>
            <w:noProof/>
          </w:rPr>
          <w:t>DUREE DE L’ACCORD</w:t>
        </w:r>
      </w:hyperlink>
    </w:p>
    <w:p w14:paraId="07EC2868" w14:textId="4D21AECA" w:rsidR="007716A5" w:rsidRDefault="007716A5">
      <w:pPr>
        <w:pStyle w:val="10"/>
        <w:tabs>
          <w:tab w:val="left" w:pos="440"/>
        </w:tabs>
        <w:rPr>
          <w:rFonts w:asciiTheme="minorHAnsi" w:eastAsiaTheme="minorEastAsia" w:hAnsiTheme="minorHAnsi" w:cstheme="minorBidi"/>
          <w:b w:val="0"/>
          <w:bCs w:val="0"/>
          <w:caps w:val="0"/>
          <w:noProof/>
          <w:color w:val="auto"/>
          <w:sz w:val="22"/>
          <w:szCs w:val="22"/>
        </w:rPr>
      </w:pPr>
      <w:hyperlink w:anchor="_Toc122001656" w:history="1">
        <w:r w:rsidRPr="00464E1D">
          <w:rPr>
            <w:rStyle w:val="-"/>
            <w:noProof/>
          </w:rPr>
          <w:t>7.</w:t>
        </w:r>
        <w:r>
          <w:rPr>
            <w:rFonts w:asciiTheme="minorHAnsi" w:eastAsiaTheme="minorEastAsia" w:hAnsiTheme="minorHAnsi" w:cstheme="minorBidi"/>
            <w:b w:val="0"/>
            <w:bCs w:val="0"/>
            <w:caps w:val="0"/>
            <w:noProof/>
            <w:color w:val="auto"/>
            <w:sz w:val="22"/>
            <w:szCs w:val="22"/>
          </w:rPr>
          <w:tab/>
        </w:r>
        <w:r w:rsidRPr="00464E1D">
          <w:rPr>
            <w:rStyle w:val="-"/>
            <w:noProof/>
          </w:rPr>
          <w:t>DISPOSITIONS GENERALES</w:t>
        </w:r>
      </w:hyperlink>
    </w:p>
    <w:p w14:paraId="28862461" w14:textId="06F1C749" w:rsidR="009F3F60" w:rsidRPr="000E6955" w:rsidRDefault="009012D0" w:rsidP="0052662C">
      <w:pPr>
        <w:pStyle w:val="CorpsTexteI10BT"/>
      </w:pPr>
      <w:r w:rsidRPr="000E6955">
        <w:rPr>
          <w:rFonts w:eastAsia="Times New Roman"/>
          <w:b/>
          <w:bCs/>
          <w:caps/>
          <w:sz w:val="20"/>
          <w:szCs w:val="20"/>
          <w:lang w:eastAsia="fr-FR"/>
        </w:rPr>
        <w:fldChar w:fldCharType="end"/>
      </w:r>
    </w:p>
    <w:p w14:paraId="135FF288" w14:textId="7730E6DC" w:rsidR="008D2AB9" w:rsidRPr="000E6955" w:rsidRDefault="008D2AB9" w:rsidP="008D2AB9">
      <w:pPr>
        <w:pStyle w:val="1"/>
        <w:numPr>
          <w:ilvl w:val="0"/>
          <w:numId w:val="0"/>
        </w:numPr>
      </w:pPr>
      <w:bookmarkStart w:id="1" w:name="_Toc92779881"/>
      <w:bookmarkStart w:id="2" w:name="_Toc122001633"/>
      <w:bookmarkStart w:id="3" w:name="_Hlk60673841"/>
      <w:r w:rsidRPr="000E6955">
        <w:t>PREAMBULE</w:t>
      </w:r>
      <w:bookmarkEnd w:id="1"/>
      <w:bookmarkEnd w:id="2"/>
    </w:p>
    <w:bookmarkEnd w:id="3"/>
    <w:p w14:paraId="37514548" w14:textId="51627BE9" w:rsidR="00482838" w:rsidRPr="000E6955" w:rsidRDefault="00BF128C" w:rsidP="00D675D0">
      <w:pPr>
        <w:pStyle w:val="CorpsTexteI10BT"/>
      </w:pPr>
      <w:r w:rsidRPr="000E6955">
        <w:t xml:space="preserve">Les parties signataires partagent une volonté commune d’engagement pour le développement et la promotion de la qualité de vie et conditions de travail </w:t>
      </w:r>
      <w:r w:rsidR="004B0EB0" w:rsidRPr="000E6955">
        <w:t xml:space="preserve">(QVCT) </w:t>
      </w:r>
      <w:r w:rsidRPr="000E6955">
        <w:t>au sein de Bertin Technologies. Le</w:t>
      </w:r>
      <w:r w:rsidR="00131862" w:rsidRPr="000E6955">
        <w:t> </w:t>
      </w:r>
      <w:r w:rsidRPr="000E6955">
        <w:t>présent accord s’inscrit dans la cadre de la loi du 17 août 2015</w:t>
      </w:r>
      <w:bookmarkStart w:id="4" w:name="_Ref122001239"/>
      <w:r w:rsidR="004B6320" w:rsidRPr="000E6955">
        <w:rPr>
          <w:rStyle w:val="ae"/>
        </w:rPr>
        <w:footnoteReference w:id="1"/>
      </w:r>
      <w:bookmarkEnd w:id="4"/>
      <w:r w:rsidRPr="000E6955">
        <w:rPr>
          <w:vertAlign w:val="superscript"/>
        </w:rPr>
        <w:t xml:space="preserve"> </w:t>
      </w:r>
      <w:r w:rsidRPr="000E6955">
        <w:t xml:space="preserve">relative au Dialogue Social et à l’Emploi et sur les dispositions prévues par </w:t>
      </w:r>
      <w:r w:rsidR="00131862" w:rsidRPr="000E6955">
        <w:t>le</w:t>
      </w:r>
      <w:r w:rsidRPr="000E6955">
        <w:t xml:space="preserve"> Code du Travail</w:t>
      </w:r>
      <w:r w:rsidR="006D2512" w:rsidRPr="000E6955">
        <w:rPr>
          <w:rStyle w:val="ae"/>
        </w:rPr>
        <w:footnoteReference w:id="2"/>
      </w:r>
      <w:r w:rsidRPr="000E6955">
        <w:t>.</w:t>
      </w:r>
    </w:p>
    <w:p w14:paraId="5B2F152D" w14:textId="213323A1" w:rsidR="00482838" w:rsidRPr="000E6955" w:rsidRDefault="00BF128C" w:rsidP="00D675D0">
      <w:pPr>
        <w:pStyle w:val="CorpsTexteI10BT"/>
        <w:spacing w:before="120"/>
      </w:pPr>
      <w:r w:rsidRPr="000E6955">
        <w:t xml:space="preserve">L’accord s’applique à l’ensemble des personnels de Bertin Technologies. Il a pour objet des dispositions visant à améliorer la qualité de vie et les conditions de travail </w:t>
      </w:r>
      <w:r w:rsidR="004B0EB0" w:rsidRPr="000E6955">
        <w:t xml:space="preserve">(QVCT) </w:t>
      </w:r>
      <w:r w:rsidRPr="000E6955">
        <w:t>des collaborateurs de Bertin Technologies.</w:t>
      </w:r>
    </w:p>
    <w:p w14:paraId="79F04CD9" w14:textId="383F6902" w:rsidR="008D2AB9" w:rsidRPr="000E6955" w:rsidRDefault="000D53F5" w:rsidP="00D675D0">
      <w:pPr>
        <w:pStyle w:val="CorpsTexteI10BT"/>
        <w:spacing w:before="120"/>
      </w:pPr>
      <w:r w:rsidRPr="000E6955">
        <w:t xml:space="preserve">Quatre thématiques </w:t>
      </w:r>
      <w:r w:rsidR="00860FCB" w:rsidRPr="000E6955">
        <w:t>prioritaires portant sur la QVCT ont été retenues entre la Direction et les Délégués Syndicaux</w:t>
      </w:r>
      <w:r w:rsidR="005D6BD8" w:rsidRPr="000E6955">
        <w:t xml:space="preserve"> et</w:t>
      </w:r>
      <w:r w:rsidR="00860FCB" w:rsidRPr="000E6955">
        <w:t xml:space="preserve"> </w:t>
      </w:r>
      <w:r w:rsidR="00975ADF" w:rsidRPr="000E6955">
        <w:t>font l’objet de cet accord</w:t>
      </w:r>
      <w:r w:rsidRPr="000E6955">
        <w:t xml:space="preserve"> </w:t>
      </w:r>
      <w:r w:rsidR="008D2AB9" w:rsidRPr="000E6955">
        <w:t>:</w:t>
      </w:r>
    </w:p>
    <w:p w14:paraId="12C110C7" w14:textId="2A13BBA9" w:rsidR="008D2AB9" w:rsidRPr="000E6955" w:rsidRDefault="00975ADF" w:rsidP="00D675D0">
      <w:pPr>
        <w:pStyle w:val="a"/>
      </w:pPr>
      <w:r w:rsidRPr="000E6955">
        <w:t>Santé / Sécurité / Conditions de Travail,</w:t>
      </w:r>
    </w:p>
    <w:p w14:paraId="13AD6428" w14:textId="380D59CC" w:rsidR="008D2AB9" w:rsidRPr="000E6955" w:rsidRDefault="00975ADF" w:rsidP="00D675D0">
      <w:pPr>
        <w:pStyle w:val="a"/>
      </w:pPr>
      <w:r w:rsidRPr="000E6955">
        <w:t>Articulation Vie professionnelle / personnelle</w:t>
      </w:r>
      <w:r w:rsidR="008D2AB9" w:rsidRPr="000E6955">
        <w:t>,</w:t>
      </w:r>
    </w:p>
    <w:p w14:paraId="7DE81F67" w14:textId="047D167B" w:rsidR="008D2AB9" w:rsidRPr="000E6955" w:rsidRDefault="00975ADF" w:rsidP="00D675D0">
      <w:pPr>
        <w:pStyle w:val="a"/>
      </w:pPr>
      <w:r w:rsidRPr="000E6955">
        <w:t>Egalité Professionnelle Femmes / Hommes</w:t>
      </w:r>
    </w:p>
    <w:p w14:paraId="4D09C08E" w14:textId="25D3E4B3" w:rsidR="008D2AB9" w:rsidRPr="000E6955" w:rsidRDefault="00975ADF" w:rsidP="00D675D0">
      <w:pPr>
        <w:pStyle w:val="a"/>
      </w:pPr>
      <w:r w:rsidRPr="000E6955">
        <w:t>Carrière.</w:t>
      </w:r>
    </w:p>
    <w:p w14:paraId="6BAFA04F" w14:textId="77777777" w:rsidR="008D2AB9" w:rsidRPr="000E6955" w:rsidRDefault="008D2AB9" w:rsidP="00D675D0">
      <w:pPr>
        <w:pStyle w:val="CorpsTexteI10BT"/>
        <w:spacing w:before="120"/>
      </w:pPr>
      <w:r w:rsidRPr="000E6955">
        <w:t>A l’issue des réunions, il a été convenu entre les parties signataires les dispositions qui suivent.</w:t>
      </w:r>
    </w:p>
    <w:p w14:paraId="4BA5E66B" w14:textId="5DEFE827" w:rsidR="008D2AB9" w:rsidRPr="000E6955" w:rsidRDefault="00084065" w:rsidP="008D2AB9">
      <w:pPr>
        <w:pStyle w:val="1"/>
        <w:pageBreakBefore/>
        <w:spacing w:before="600"/>
        <w:jc w:val="both"/>
      </w:pPr>
      <w:bookmarkStart w:id="5" w:name="_Toc122001634"/>
      <w:r w:rsidRPr="000E6955">
        <w:lastRenderedPageBreak/>
        <w:t>SANTE / SECURITE / CONDITIONS DE TRAVAIL</w:t>
      </w:r>
      <w:bookmarkEnd w:id="5"/>
    </w:p>
    <w:p w14:paraId="3E9320DF" w14:textId="5FD620E6" w:rsidR="00514F68" w:rsidRPr="000E6955" w:rsidRDefault="00514F68" w:rsidP="00516AB7">
      <w:pPr>
        <w:pStyle w:val="CorpsTexteI10BT"/>
        <w:spacing w:after="0"/>
      </w:pPr>
      <w:r w:rsidRPr="000E6955">
        <w:t xml:space="preserve">La </w:t>
      </w:r>
      <w:r w:rsidR="00904B7A" w:rsidRPr="000E6955">
        <w:t>s</w:t>
      </w:r>
      <w:r w:rsidRPr="000E6955">
        <w:t xml:space="preserve">écurité </w:t>
      </w:r>
      <w:r w:rsidR="00904B7A" w:rsidRPr="000E6955">
        <w:t xml:space="preserve">et la protection de la santé </w:t>
      </w:r>
      <w:r w:rsidR="009C30BF" w:rsidRPr="000E6955">
        <w:t xml:space="preserve">des collaborateurs de Bertin Technologies </w:t>
      </w:r>
      <w:r w:rsidRPr="000E6955">
        <w:t>est au cœur</w:t>
      </w:r>
      <w:r w:rsidR="003B2F94" w:rsidRPr="000E6955">
        <w:t xml:space="preserve"> de la</w:t>
      </w:r>
      <w:r w:rsidR="009C30BF" w:rsidRPr="000E6955">
        <w:t xml:space="preserve"> préoccupation </w:t>
      </w:r>
      <w:r w:rsidR="00904B7A" w:rsidRPr="000E6955">
        <w:t xml:space="preserve">quotidienne </w:t>
      </w:r>
      <w:r w:rsidR="009C30BF" w:rsidRPr="000E6955">
        <w:t>de la Direction</w:t>
      </w:r>
      <w:r w:rsidR="007A62E7" w:rsidRPr="000E6955">
        <w:t xml:space="preserve">. </w:t>
      </w:r>
      <w:r w:rsidR="00375C74" w:rsidRPr="000E6955">
        <w:t xml:space="preserve">Le Règlement Intérieur de l’Entreprise précise notamment l’application de la réglementation en matière d’hygiène et de sécurité. Il est complété par des notes de service. </w:t>
      </w:r>
      <w:r w:rsidR="00696919" w:rsidRPr="000E6955">
        <w:t>Toutes les</w:t>
      </w:r>
      <w:r w:rsidR="007A62E7" w:rsidRPr="000E6955">
        <w:t xml:space="preserve"> règles de sécurité doivent être </w:t>
      </w:r>
      <w:r w:rsidR="005511DB" w:rsidRPr="000E6955">
        <w:t xml:space="preserve">appliquées et </w:t>
      </w:r>
      <w:r w:rsidR="007A62E7" w:rsidRPr="000E6955">
        <w:t>respectées par tous.</w:t>
      </w:r>
    </w:p>
    <w:p w14:paraId="34B8FCC9" w14:textId="1C857A41" w:rsidR="004B0EB0" w:rsidRPr="000E6955" w:rsidRDefault="004B0EB0" w:rsidP="00516AB7">
      <w:pPr>
        <w:pStyle w:val="CorpsTexteI10BT"/>
        <w:spacing w:after="0"/>
      </w:pPr>
      <w:r w:rsidRPr="000E6955">
        <w:t>A ce titre, cette thématique est systématiquement abordée lors des différentes réunions opérationnelles.</w:t>
      </w:r>
    </w:p>
    <w:p w14:paraId="7E03E495" w14:textId="68963655" w:rsidR="007A62E7" w:rsidRPr="000E6955" w:rsidRDefault="004B0EB0" w:rsidP="00131862">
      <w:pPr>
        <w:spacing w:before="240"/>
        <w:rPr>
          <w:rFonts w:eastAsia="Calibri" w:cs="Arial"/>
          <w:szCs w:val="22"/>
          <w:lang w:eastAsia="en-US"/>
        </w:rPr>
      </w:pPr>
      <w:r w:rsidRPr="000E6955">
        <w:rPr>
          <w:rFonts w:eastAsia="Calibri" w:cs="Arial"/>
          <w:szCs w:val="22"/>
          <w:lang w:eastAsia="en-US"/>
        </w:rPr>
        <w:t>Au-delà</w:t>
      </w:r>
      <w:r w:rsidR="007A62E7" w:rsidRPr="000E6955">
        <w:rPr>
          <w:rFonts w:eastAsia="Calibri" w:cs="Arial"/>
          <w:szCs w:val="22"/>
          <w:lang w:eastAsia="en-US"/>
        </w:rPr>
        <w:t xml:space="preserve"> </w:t>
      </w:r>
      <w:r w:rsidRPr="000E6955">
        <w:rPr>
          <w:rFonts w:eastAsia="Calibri" w:cs="Arial"/>
          <w:szCs w:val="22"/>
          <w:lang w:eastAsia="en-US"/>
        </w:rPr>
        <w:t xml:space="preserve">de ces éléments, les parties ont fait le choix d’évoquer </w:t>
      </w:r>
      <w:r w:rsidR="007A62E7" w:rsidRPr="000E6955">
        <w:rPr>
          <w:rFonts w:eastAsia="Calibri" w:cs="Arial"/>
          <w:szCs w:val="22"/>
          <w:lang w:eastAsia="en-US"/>
        </w:rPr>
        <w:t>les axes suivants :</w:t>
      </w:r>
    </w:p>
    <w:p w14:paraId="29F310CC" w14:textId="77777777" w:rsidR="007A62E7" w:rsidRPr="000E6955" w:rsidRDefault="007A62E7" w:rsidP="00E2472C">
      <w:pPr>
        <w:pStyle w:val="CorpsTexteI10BT"/>
      </w:pPr>
    </w:p>
    <w:p w14:paraId="5F4F532D" w14:textId="1F6A5713" w:rsidR="00471F8A" w:rsidRPr="000E6955" w:rsidRDefault="00471F8A" w:rsidP="00471F8A">
      <w:pPr>
        <w:pStyle w:val="2"/>
      </w:pPr>
      <w:bookmarkStart w:id="6" w:name="_Toc122001635"/>
      <w:r w:rsidRPr="000E6955">
        <w:t>La Procédure « Gérer les cas d’urgence et les situations dangereuses »</w:t>
      </w:r>
      <w:bookmarkEnd w:id="6"/>
    </w:p>
    <w:p w14:paraId="4D9B45CC" w14:textId="0412E334" w:rsidR="00471F8A" w:rsidRPr="000E6955" w:rsidRDefault="00471F8A" w:rsidP="00471F8A">
      <w:pPr>
        <w:pStyle w:val="CorpsTexteI10BT"/>
      </w:pPr>
      <w:r w:rsidRPr="000E6955">
        <w:t>Une procédure est élaborée et mise à jour chaque fois que nécessaire pour chaque site de Bertin Technologies (ex. celle du site de Montigny).</w:t>
      </w:r>
      <w:bookmarkStart w:id="7" w:name="_Ref121999210"/>
      <w:r w:rsidRPr="000E6955">
        <w:rPr>
          <w:rStyle w:val="ae"/>
        </w:rPr>
        <w:footnoteReference w:id="3"/>
      </w:r>
      <w:bookmarkEnd w:id="7"/>
    </w:p>
    <w:p w14:paraId="0CEB4FDF" w14:textId="26E4E18C" w:rsidR="00471F8A" w:rsidRPr="000E6955" w:rsidRDefault="00471F8A" w:rsidP="00131862">
      <w:pPr>
        <w:pStyle w:val="CorpsTexteI10BT"/>
        <w:spacing w:before="120"/>
      </w:pPr>
      <w:r w:rsidRPr="000E6955">
        <w:t>Celle-ci fournit des consignes précises sur la conduite à tenir en cas d’accident. Des situations dangereuses peuvent conduire à des cas d’urgence : elles sont identifiées</w:t>
      </w:r>
      <w:r w:rsidR="007740C9" w:rsidRPr="000E6955">
        <w:t xml:space="preserve"> ici ainsi que les mesures prises pour les éviter ou limiter leurs impacts.</w:t>
      </w:r>
      <w:r w:rsidRPr="000E6955">
        <w:t xml:space="preserve"> </w:t>
      </w:r>
    </w:p>
    <w:p w14:paraId="73190401" w14:textId="21BB95EC" w:rsidR="00471F8A" w:rsidRPr="000E6955" w:rsidRDefault="00471F8A" w:rsidP="00471F8A">
      <w:pPr>
        <w:pStyle w:val="CorpsTexteI10BT"/>
      </w:pPr>
    </w:p>
    <w:p w14:paraId="0D009D33" w14:textId="32F8E567" w:rsidR="00E2472C" w:rsidRPr="000E6955" w:rsidRDefault="00E2472C" w:rsidP="00513024">
      <w:pPr>
        <w:pStyle w:val="2"/>
        <w:jc w:val="both"/>
        <w:rPr>
          <w:rFonts w:eastAsia="Calibri"/>
        </w:rPr>
      </w:pPr>
      <w:bookmarkStart w:id="8" w:name="_Toc122001636"/>
      <w:r w:rsidRPr="000E6955">
        <w:rPr>
          <w:rFonts w:eastAsia="Calibri"/>
        </w:rPr>
        <w:t>Le PAPRIPACT</w:t>
      </w:r>
      <w:bookmarkEnd w:id="8"/>
    </w:p>
    <w:p w14:paraId="6CA32527" w14:textId="6348701E" w:rsidR="00E2472C" w:rsidRPr="000E6955" w:rsidRDefault="00E2472C" w:rsidP="00D675D0">
      <w:pPr>
        <w:pStyle w:val="CorpsTexteI10BT"/>
      </w:pPr>
      <w:r w:rsidRPr="000E6955">
        <w:t xml:space="preserve">Le PAPRIPACT </w:t>
      </w:r>
      <w:r w:rsidR="00D675D0" w:rsidRPr="000E6955">
        <w:t xml:space="preserve">(Programme Annuel de Prévention des Risques Professionnels et d’Amélioration des Conditions de Travail) </w:t>
      </w:r>
      <w:r w:rsidRPr="000E6955">
        <w:t>est un document obligatoire qui formalise pour l’année suivante l’ensemble des mesures devant agir sur les risques professionnels identifiés.</w:t>
      </w:r>
    </w:p>
    <w:p w14:paraId="5B6614C3" w14:textId="2D8E2CA4" w:rsidR="00E2472C" w:rsidRPr="000E6955" w:rsidRDefault="00E2472C" w:rsidP="00131862">
      <w:pPr>
        <w:pStyle w:val="CorpsTexteI10BT"/>
        <w:spacing w:before="120"/>
      </w:pPr>
      <w:r w:rsidRPr="000E6955">
        <w:t>Le P</w:t>
      </w:r>
      <w:r w:rsidR="00131862" w:rsidRPr="000E6955">
        <w:t>A</w:t>
      </w:r>
      <w:r w:rsidRPr="000E6955">
        <w:t xml:space="preserve">PRIPACT est directement en lien avec </w:t>
      </w:r>
      <w:r w:rsidR="00133B21" w:rsidRPr="000E6955">
        <w:t>l</w:t>
      </w:r>
      <w:r w:rsidRPr="000E6955">
        <w:t>e DUERP (Document Unique d’Evaluation des Risques Professionnels).</w:t>
      </w:r>
    </w:p>
    <w:p w14:paraId="0A8BEF74" w14:textId="6FDB243F" w:rsidR="00E2472C" w:rsidRPr="000E6955" w:rsidRDefault="00E2472C" w:rsidP="00131862">
      <w:pPr>
        <w:pStyle w:val="CorpsTexteI10BT"/>
        <w:spacing w:before="120"/>
      </w:pPr>
      <w:r w:rsidRPr="000E6955">
        <w:t>Ce document est mis à jour annuellement par les Correspondants Sécurité de chaque site de Bertin Technologies</w:t>
      </w:r>
      <w:r w:rsidR="0006069E" w:rsidRPr="000E6955">
        <w:t xml:space="preserve"> en y associant les Représentants du Personnel du CSE</w:t>
      </w:r>
      <w:r w:rsidRPr="000E6955">
        <w:t>.</w:t>
      </w:r>
    </w:p>
    <w:p w14:paraId="381AB165" w14:textId="15C34E7F" w:rsidR="00E2472C" w:rsidRPr="000E6955" w:rsidRDefault="00E2472C" w:rsidP="00131862">
      <w:pPr>
        <w:pStyle w:val="CorpsTexteI10BT"/>
        <w:spacing w:before="120"/>
      </w:pPr>
      <w:r w:rsidRPr="000E6955">
        <w:t xml:space="preserve">Les Représentants du Personnel au CSE sont consultés </w:t>
      </w:r>
      <w:r w:rsidR="00E94496" w:rsidRPr="000E6955">
        <w:t xml:space="preserve">(bilan N-1 et programme N) </w:t>
      </w:r>
      <w:r w:rsidRPr="000E6955">
        <w:t>chaque début d’année.</w:t>
      </w:r>
    </w:p>
    <w:p w14:paraId="7D1D6375" w14:textId="6B7D69AD" w:rsidR="00E2472C" w:rsidRPr="000E6955" w:rsidRDefault="00E2472C" w:rsidP="00D675D0">
      <w:pPr>
        <w:pStyle w:val="CorpsTexteI10BT"/>
      </w:pPr>
    </w:p>
    <w:p w14:paraId="454BFA86" w14:textId="6910B9B3" w:rsidR="00E2472C" w:rsidRPr="000E6955" w:rsidRDefault="00E2472C" w:rsidP="00E2472C">
      <w:pPr>
        <w:pStyle w:val="2"/>
      </w:pPr>
      <w:bookmarkStart w:id="9" w:name="_Toc122001637"/>
      <w:r w:rsidRPr="000E6955">
        <w:t>Les RPS : sensibilisation des managers</w:t>
      </w:r>
      <w:bookmarkEnd w:id="9"/>
    </w:p>
    <w:p w14:paraId="5E3A5048" w14:textId="70A5B278" w:rsidR="00E2472C" w:rsidRPr="000E6955" w:rsidRDefault="00C947EB" w:rsidP="00C947EB">
      <w:pPr>
        <w:pStyle w:val="CorpsTexteI10BT"/>
      </w:pPr>
      <w:r w:rsidRPr="000E6955">
        <w:t>Les SPST (Services de Prévention et de Santé au Travail) de chaque site dispensent des sensibilisations relatives aux RPS</w:t>
      </w:r>
      <w:r w:rsidR="00131862" w:rsidRPr="000E6955">
        <w:t xml:space="preserve"> (Risques Psycho-Sociaux)</w:t>
      </w:r>
      <w:r w:rsidRPr="000E6955">
        <w:t>.</w:t>
      </w:r>
    </w:p>
    <w:p w14:paraId="215A3B7C" w14:textId="356379B2" w:rsidR="00C947EB" w:rsidRPr="000E6955" w:rsidRDefault="00C947EB" w:rsidP="00131862">
      <w:pPr>
        <w:pStyle w:val="CorpsTexteI10BT"/>
        <w:spacing w:before="120"/>
      </w:pPr>
      <w:r w:rsidRPr="000E6955">
        <w:t xml:space="preserve">C’est ainsi que </w:t>
      </w:r>
      <w:r w:rsidR="003E6316" w:rsidRPr="000E6955">
        <w:t>sera organisé pour les managers un cycle de sensibilisation se déroulant comme suit :</w:t>
      </w:r>
    </w:p>
    <w:p w14:paraId="66660364" w14:textId="704B8112" w:rsidR="008D2AB9" w:rsidRPr="000E6955" w:rsidRDefault="003E6316" w:rsidP="008D2AB9">
      <w:pPr>
        <w:pStyle w:val="a"/>
        <w:spacing w:before="120"/>
      </w:pPr>
      <w:r w:rsidRPr="000E6955">
        <w:t xml:space="preserve">Le cycle de </w:t>
      </w:r>
      <w:r w:rsidR="004C492A" w:rsidRPr="000E6955">
        <w:t>re-sensibilisation</w:t>
      </w:r>
      <w:r w:rsidRPr="000E6955">
        <w:t xml:space="preserve"> </w:t>
      </w:r>
      <w:r w:rsidR="009C6609" w:rsidRPr="000E6955">
        <w:t xml:space="preserve">aura lieu tous les </w:t>
      </w:r>
      <w:r w:rsidR="009C6609" w:rsidRPr="000E6955">
        <w:rPr>
          <w:b/>
        </w:rPr>
        <w:t>5 ans</w:t>
      </w:r>
      <w:r w:rsidR="00D675D0" w:rsidRPr="000E6955">
        <w:t>,</w:t>
      </w:r>
    </w:p>
    <w:p w14:paraId="5B94936E" w14:textId="77777777" w:rsidR="00D675D0" w:rsidRPr="000E6955" w:rsidRDefault="00D675D0" w:rsidP="00D675D0">
      <w:pPr>
        <w:pStyle w:val="a"/>
      </w:pPr>
      <w:r w:rsidRPr="000E6955">
        <w:rPr>
          <w:b/>
        </w:rPr>
        <w:t>20%</w:t>
      </w:r>
      <w:r w:rsidRPr="000E6955">
        <w:t xml:space="preserve"> des managers seront sensibilisés annuellement,</w:t>
      </w:r>
    </w:p>
    <w:p w14:paraId="26E37FDB" w14:textId="77777777" w:rsidR="004C492A" w:rsidRPr="000E6955" w:rsidRDefault="009C6609" w:rsidP="008D2AB9">
      <w:pPr>
        <w:pStyle w:val="a"/>
        <w:spacing w:before="120"/>
      </w:pPr>
      <w:r w:rsidRPr="000E6955">
        <w:rPr>
          <w:b/>
        </w:rPr>
        <w:t>Indicateur</w:t>
      </w:r>
      <w:r w:rsidR="004C492A" w:rsidRPr="000E6955">
        <w:rPr>
          <w:b/>
        </w:rPr>
        <w:t>s</w:t>
      </w:r>
      <w:r w:rsidRPr="000E6955">
        <w:rPr>
          <w:b/>
        </w:rPr>
        <w:t xml:space="preserve"> de suivi</w:t>
      </w:r>
      <w:r w:rsidRPr="000E6955">
        <w:t> :</w:t>
      </w:r>
    </w:p>
    <w:p w14:paraId="650E953E" w14:textId="62160059" w:rsidR="009C6609" w:rsidRPr="000E6955" w:rsidRDefault="009C6609" w:rsidP="004C492A">
      <w:pPr>
        <w:pStyle w:val="a"/>
        <w:numPr>
          <w:ilvl w:val="1"/>
          <w:numId w:val="2"/>
        </w:numPr>
        <w:spacing w:after="0"/>
      </w:pPr>
      <w:r w:rsidRPr="000E6955">
        <w:t>nombre de managers ayant suivi annuellement cette sensibilisation</w:t>
      </w:r>
      <w:r w:rsidR="004C492A" w:rsidRPr="000E6955">
        <w:t>,</w:t>
      </w:r>
    </w:p>
    <w:p w14:paraId="01184980" w14:textId="5AD67D92" w:rsidR="004C492A" w:rsidRPr="000E6955" w:rsidRDefault="004C492A" w:rsidP="004C492A">
      <w:pPr>
        <w:pStyle w:val="a"/>
        <w:numPr>
          <w:ilvl w:val="1"/>
          <w:numId w:val="2"/>
        </w:numPr>
        <w:spacing w:after="0"/>
      </w:pPr>
      <w:r w:rsidRPr="000E6955">
        <w:t>nombre de managers pour lesquels la dernière sensibilisation date de 4 ans,</w:t>
      </w:r>
    </w:p>
    <w:p w14:paraId="719C3AF4" w14:textId="40826098" w:rsidR="004C492A" w:rsidRPr="000E6955" w:rsidRDefault="004C492A" w:rsidP="004C492A">
      <w:pPr>
        <w:pStyle w:val="a"/>
        <w:numPr>
          <w:ilvl w:val="1"/>
          <w:numId w:val="2"/>
        </w:numPr>
        <w:spacing w:after="0"/>
      </w:pPr>
      <w:r w:rsidRPr="000E6955">
        <w:t xml:space="preserve">nombre de managers pour lesquels la dernière sensibilisation date de 5 ans </w:t>
      </w:r>
      <w:r w:rsidR="00480993" w:rsidRPr="000E6955">
        <w:t>et</w:t>
      </w:r>
      <w:r w:rsidRPr="000E6955">
        <w:t xml:space="preserve"> plus.</w:t>
      </w:r>
    </w:p>
    <w:p w14:paraId="3C991C11" w14:textId="77777777" w:rsidR="007005E2" w:rsidRPr="000E6955" w:rsidRDefault="007005E2" w:rsidP="00D675D0">
      <w:pPr>
        <w:pStyle w:val="CorpsTexteI10BT"/>
      </w:pPr>
    </w:p>
    <w:p w14:paraId="331B625B" w14:textId="579E4C6A" w:rsidR="007005E2" w:rsidRPr="000E6955" w:rsidRDefault="007005E2" w:rsidP="007005E2">
      <w:pPr>
        <w:pStyle w:val="2"/>
      </w:pPr>
      <w:bookmarkStart w:id="10" w:name="_Toc122001638"/>
      <w:r w:rsidRPr="000E6955">
        <w:lastRenderedPageBreak/>
        <w:t>Le Baromètre Stress</w:t>
      </w:r>
      <w:bookmarkEnd w:id="10"/>
    </w:p>
    <w:p w14:paraId="3CF002C0" w14:textId="6228DB25" w:rsidR="007005E2" w:rsidRPr="000E6955" w:rsidRDefault="003D3824" w:rsidP="007005E2">
      <w:pPr>
        <w:pStyle w:val="CorpsTexteI10BT"/>
      </w:pPr>
      <w:r w:rsidRPr="000E6955">
        <w:t xml:space="preserve">Afin de </w:t>
      </w:r>
      <w:r w:rsidR="009F6FA4" w:rsidRPr="000E6955">
        <w:t>mieux piloter la santé au travail et la prévention des risques psychosociaux, les parties estiment important de réaliser périodiquement des diagnostics auprès d</w:t>
      </w:r>
      <w:r w:rsidRPr="000E6955">
        <w:t>es collaborateurs de Bertin Technologies</w:t>
      </w:r>
      <w:r w:rsidR="009F6FA4" w:rsidRPr="000E6955">
        <w:t>. A ce titre</w:t>
      </w:r>
      <w:r w:rsidRPr="000E6955">
        <w:t xml:space="preserve">, </w:t>
      </w:r>
      <w:r w:rsidR="009F6FA4" w:rsidRPr="000E6955">
        <w:t xml:space="preserve">la Direction lancera une consultation des différents acteurs du marché dans le but de souscrire </w:t>
      </w:r>
      <w:r w:rsidRPr="000E6955">
        <w:t xml:space="preserve">un abonnement à une plateforme (type </w:t>
      </w:r>
      <w:proofErr w:type="spellStart"/>
      <w:r w:rsidRPr="000E6955">
        <w:t>MoodWork</w:t>
      </w:r>
      <w:proofErr w:type="spellEnd"/>
      <w:r w:rsidRPr="000E6955">
        <w:t>)</w:t>
      </w:r>
      <w:r w:rsidR="00BE66D4" w:rsidRPr="000E6955">
        <w:t>, en partenariat avec le CSE</w:t>
      </w:r>
      <w:r w:rsidR="002E31CC" w:rsidRPr="000E6955">
        <w:t>, le cas échant,</w:t>
      </w:r>
      <w:r w:rsidR="009F6FA4" w:rsidRPr="000E6955">
        <w:t xml:space="preserve"> et pour une durée expérimentale de deux ans</w:t>
      </w:r>
      <w:r w:rsidR="00BE66D4" w:rsidRPr="000E6955">
        <w:t>.</w:t>
      </w:r>
    </w:p>
    <w:p w14:paraId="5A8D3CE5" w14:textId="1383E910" w:rsidR="004D67A0" w:rsidRPr="000E6955" w:rsidRDefault="004D67A0" w:rsidP="00131862">
      <w:pPr>
        <w:pStyle w:val="CorpsTexteI10BT"/>
        <w:spacing w:before="120"/>
      </w:pPr>
      <w:r w:rsidRPr="000E6955">
        <w:t xml:space="preserve">Chaque collaborateur pourra </w:t>
      </w:r>
      <w:r w:rsidR="00A66AF6" w:rsidRPr="000E6955">
        <w:t xml:space="preserve">ainsi </w:t>
      </w:r>
      <w:r w:rsidRPr="000E6955">
        <w:t xml:space="preserve">faire son </w:t>
      </w:r>
      <w:proofErr w:type="spellStart"/>
      <w:r w:rsidRPr="000E6955">
        <w:t>auto-diagnostic</w:t>
      </w:r>
      <w:proofErr w:type="spellEnd"/>
      <w:r w:rsidR="00A66AF6" w:rsidRPr="000E6955">
        <w:t xml:space="preserve"> de manière anonyme afin de recueillir des stati</w:t>
      </w:r>
      <w:r w:rsidRPr="000E6955">
        <w:t xml:space="preserve">stiques </w:t>
      </w:r>
      <w:r w:rsidR="00A66AF6" w:rsidRPr="000E6955">
        <w:t>pertinentes</w:t>
      </w:r>
      <w:r w:rsidRPr="000E6955">
        <w:t>.</w:t>
      </w:r>
    </w:p>
    <w:p w14:paraId="6F0F627F" w14:textId="24B1569F" w:rsidR="004D67A0" w:rsidRPr="000E6955" w:rsidRDefault="004D67A0" w:rsidP="00131862">
      <w:pPr>
        <w:pStyle w:val="a"/>
        <w:spacing w:before="240"/>
      </w:pPr>
      <w:bookmarkStart w:id="11" w:name="_Hlk120611610"/>
      <w:r w:rsidRPr="000E6955">
        <w:rPr>
          <w:b/>
        </w:rPr>
        <w:t>Indicateur de suivi</w:t>
      </w:r>
      <w:r w:rsidRPr="000E6955">
        <w:t xml:space="preserve"> : </w:t>
      </w:r>
      <w:bookmarkEnd w:id="11"/>
      <w:r w:rsidRPr="000E6955">
        <w:t>nombre de connexions à cette plateforme</w:t>
      </w:r>
      <w:r w:rsidR="005631CF" w:rsidRPr="000E6955">
        <w:t>, nombre de cas « sensibles » recensés</w:t>
      </w:r>
      <w:r w:rsidRPr="000E6955">
        <w:t xml:space="preserve"> et</w:t>
      </w:r>
      <w:r w:rsidR="006F038C" w:rsidRPr="000E6955">
        <w:t xml:space="preserve"> </w:t>
      </w:r>
      <w:r w:rsidR="00396723" w:rsidRPr="000E6955">
        <w:t xml:space="preserve">synthèse des </w:t>
      </w:r>
      <w:proofErr w:type="spellStart"/>
      <w:r w:rsidR="00396723" w:rsidRPr="000E6955">
        <w:t>auto-diagnostics</w:t>
      </w:r>
      <w:proofErr w:type="spellEnd"/>
      <w:r w:rsidR="00396723" w:rsidRPr="000E6955">
        <w:t>.</w:t>
      </w:r>
    </w:p>
    <w:p w14:paraId="5B9080FC" w14:textId="77777777" w:rsidR="003B0868" w:rsidRPr="000E6955" w:rsidRDefault="003B0868" w:rsidP="00131862">
      <w:pPr>
        <w:pStyle w:val="CorpsTexteI10BT"/>
      </w:pPr>
    </w:p>
    <w:p w14:paraId="6D64F389" w14:textId="1CC25D4E" w:rsidR="003B0868" w:rsidRPr="000E6955" w:rsidRDefault="003B0868" w:rsidP="003B0868">
      <w:pPr>
        <w:pStyle w:val="2"/>
      </w:pPr>
      <w:bookmarkStart w:id="12" w:name="_Toc122001639"/>
      <w:r w:rsidRPr="000E6955">
        <w:t>Maladies Professionnelles (MP)</w:t>
      </w:r>
      <w:bookmarkEnd w:id="12"/>
    </w:p>
    <w:p w14:paraId="21FFD9C0" w14:textId="0198DDD2" w:rsidR="006E2BB4" w:rsidRPr="000E6955" w:rsidRDefault="006E2BB4" w:rsidP="006E2BB4">
      <w:pPr>
        <w:pStyle w:val="CorpsTexteI10BT"/>
      </w:pPr>
      <w:bookmarkStart w:id="13" w:name="_Toc530047650"/>
      <w:bookmarkStart w:id="14" w:name="_Toc92779883"/>
      <w:r w:rsidRPr="000E6955">
        <w:t xml:space="preserve">Une maladie est dite "professionnelle" si elle résulte des conditions dans lesquelles le salarié exerce d’une façon habituelle son activité professionnelle </w:t>
      </w:r>
      <w:r w:rsidR="007577EE" w:rsidRPr="000E6955">
        <w:t xml:space="preserve">et </w:t>
      </w:r>
      <w:r w:rsidRPr="000E6955">
        <w:t>qui l’expose</w:t>
      </w:r>
      <w:r w:rsidR="007577EE" w:rsidRPr="000E6955">
        <w:t>nt</w:t>
      </w:r>
      <w:r w:rsidRPr="000E6955">
        <w:t xml:space="preserve"> à un risque physique, chimique, psychique, ou biologique.</w:t>
      </w:r>
    </w:p>
    <w:p w14:paraId="0E44E967" w14:textId="33479E50" w:rsidR="006E2BB4" w:rsidRPr="000E6955" w:rsidRDefault="006E2BB4" w:rsidP="00131862">
      <w:pPr>
        <w:pStyle w:val="a"/>
        <w:spacing w:before="240"/>
      </w:pPr>
      <w:r w:rsidRPr="000E6955">
        <w:rPr>
          <w:b/>
        </w:rPr>
        <w:t>Indicateur de suivi</w:t>
      </w:r>
      <w:r w:rsidRPr="000E6955">
        <w:t> :</w:t>
      </w:r>
      <w:r w:rsidR="00335574" w:rsidRPr="000E6955">
        <w:t xml:space="preserve"> </w:t>
      </w:r>
      <w:r w:rsidRPr="000E6955">
        <w:t>Nombre de MP déclarées</w:t>
      </w:r>
      <w:r w:rsidR="003464DE" w:rsidRPr="000E6955">
        <w:t>, acceptées et refusées par</w:t>
      </w:r>
      <w:r w:rsidRPr="000E6955">
        <w:t xml:space="preserve"> l’Assurance Maladie</w:t>
      </w:r>
      <w:r w:rsidR="00732E0F" w:rsidRPr="000E6955">
        <w:t>.</w:t>
      </w:r>
    </w:p>
    <w:p w14:paraId="47643C97" w14:textId="77777777" w:rsidR="0022215E" w:rsidRPr="000E6955" w:rsidRDefault="0022215E" w:rsidP="00131862">
      <w:pPr>
        <w:pStyle w:val="CorpsTexteI10BT"/>
      </w:pPr>
    </w:p>
    <w:p w14:paraId="229BD37E" w14:textId="7282703F" w:rsidR="0022215E" w:rsidRPr="000E6955" w:rsidRDefault="0022215E" w:rsidP="0022215E">
      <w:pPr>
        <w:pStyle w:val="2"/>
      </w:pPr>
      <w:bookmarkStart w:id="15" w:name="_Toc122001640"/>
      <w:r w:rsidRPr="000E6955">
        <w:t>Les sous-traitants : rappel de règles de Sécurité</w:t>
      </w:r>
      <w:bookmarkEnd w:id="15"/>
    </w:p>
    <w:p w14:paraId="2DD2C58B" w14:textId="28F5A815" w:rsidR="0022215E" w:rsidRPr="000E6955" w:rsidRDefault="009D5CD8" w:rsidP="008C762A">
      <w:pPr>
        <w:pStyle w:val="CorpsTexteI10BT"/>
      </w:pPr>
      <w:r w:rsidRPr="000E6955">
        <w:t xml:space="preserve">Pour toute intervention </w:t>
      </w:r>
      <w:r w:rsidR="00342C91" w:rsidRPr="000E6955">
        <w:t>d’une entreprise extérieure sur un site de Bertin Technologies (sous-traitance dans le cadre d’un projet, travaux d’entretien, chantier, …)</w:t>
      </w:r>
      <w:r w:rsidR="00131862" w:rsidRPr="000E6955">
        <w:t>,</w:t>
      </w:r>
      <w:r w:rsidR="00342C91" w:rsidRPr="000E6955">
        <w:t xml:space="preserve"> il est recommandé qu’une analyse de risques soit effectuée à l’initiative du collaborateur de Bertin Technologies en charge de l’intervention</w:t>
      </w:r>
      <w:r w:rsidR="00131862" w:rsidRPr="000E6955">
        <w:rPr>
          <w:vertAlign w:val="superscript"/>
        </w:rPr>
        <w:fldChar w:fldCharType="begin"/>
      </w:r>
      <w:r w:rsidR="00131862" w:rsidRPr="000E6955">
        <w:rPr>
          <w:vertAlign w:val="superscript"/>
        </w:rPr>
        <w:instrText xml:space="preserve"> NOTEREF _Ref121999210 \h  \* MERGEFORMAT </w:instrText>
      </w:r>
      <w:r w:rsidR="00131862" w:rsidRPr="000E6955">
        <w:rPr>
          <w:vertAlign w:val="superscript"/>
        </w:rPr>
      </w:r>
      <w:r w:rsidR="00131862" w:rsidRPr="000E6955">
        <w:rPr>
          <w:vertAlign w:val="superscript"/>
        </w:rPr>
        <w:fldChar w:fldCharType="separate"/>
      </w:r>
      <w:r w:rsidR="00131862" w:rsidRPr="000E6955">
        <w:rPr>
          <w:vertAlign w:val="superscript"/>
        </w:rPr>
        <w:t>3</w:t>
      </w:r>
      <w:r w:rsidR="00131862" w:rsidRPr="000E6955">
        <w:rPr>
          <w:vertAlign w:val="superscript"/>
        </w:rPr>
        <w:fldChar w:fldCharType="end"/>
      </w:r>
      <w:r w:rsidR="00342C91" w:rsidRPr="000E6955">
        <w:t>.</w:t>
      </w:r>
    </w:p>
    <w:p w14:paraId="24552831" w14:textId="010F7C98" w:rsidR="003E59C9" w:rsidRPr="000E6955" w:rsidRDefault="003E59C9" w:rsidP="008C762A">
      <w:pPr>
        <w:pStyle w:val="CorpsTexteI10BT"/>
      </w:pPr>
      <w:r w:rsidRPr="000E6955">
        <w:t>L’analyse de risques porte uniquement sur les risques spécifiques induits par l’intervention. Il s’agit d’identifier les risques supplémentaires liés aux tâches de l’intervenant (ex. : s’il vient avec un outillage dangereux) et les risques spécifiques que coure l’intervenant</w:t>
      </w:r>
      <w:r w:rsidR="00305BFB" w:rsidRPr="000E6955">
        <w:t xml:space="preserve"> sur le site (ex. : proximité avec une installation dangereuse du site).</w:t>
      </w:r>
    </w:p>
    <w:p w14:paraId="4A2B7E74" w14:textId="015E27D1" w:rsidR="00305BFB" w:rsidRPr="000E6955" w:rsidRDefault="00305BFB" w:rsidP="008C762A">
      <w:pPr>
        <w:pStyle w:val="CorpsTexteI10BT"/>
      </w:pPr>
      <w:r w:rsidRPr="000E6955">
        <w:t xml:space="preserve">Cette analyse est </w:t>
      </w:r>
      <w:r w:rsidRPr="000E6955">
        <w:rPr>
          <w:b/>
        </w:rPr>
        <w:t>obligatoire</w:t>
      </w:r>
      <w:r w:rsidRPr="000E6955">
        <w:t xml:space="preserve"> dans le cas de l’établissement d’un </w:t>
      </w:r>
      <w:r w:rsidRPr="000E6955">
        <w:rPr>
          <w:b/>
        </w:rPr>
        <w:t>plan de prévention</w:t>
      </w:r>
      <w:r w:rsidRPr="000E6955">
        <w:t>.</w:t>
      </w:r>
    </w:p>
    <w:p w14:paraId="34F6D42E" w14:textId="5203AE47" w:rsidR="00305BFB" w:rsidRPr="000E6955" w:rsidRDefault="00305BFB" w:rsidP="00131862">
      <w:pPr>
        <w:pStyle w:val="CorpsTexteI10BT"/>
        <w:spacing w:before="240"/>
      </w:pPr>
      <w:r w:rsidRPr="000E6955">
        <w:t>Les interventions d’entreprises doivent faire l’objet d’un plan de prévention si elles remplissent une des 2 conditions suivantes :</w:t>
      </w:r>
    </w:p>
    <w:p w14:paraId="7241B2A8" w14:textId="688AB287" w:rsidR="00305BFB" w:rsidRPr="000E6955" w:rsidRDefault="00305BFB" w:rsidP="00D6022D">
      <w:pPr>
        <w:pStyle w:val="a"/>
      </w:pPr>
      <w:r w:rsidRPr="000E6955">
        <w:t xml:space="preserve">Durée d’intervention </w:t>
      </w:r>
      <w:r w:rsidR="008C762A" w:rsidRPr="000E6955">
        <w:rPr>
          <w:b/>
        </w:rPr>
        <w:t xml:space="preserve">&gt; </w:t>
      </w:r>
      <w:r w:rsidRPr="000E6955">
        <w:rPr>
          <w:b/>
        </w:rPr>
        <w:t>à</w:t>
      </w:r>
      <w:r w:rsidRPr="000E6955">
        <w:t xml:space="preserve"> </w:t>
      </w:r>
      <w:r w:rsidRPr="000E6955">
        <w:rPr>
          <w:b/>
        </w:rPr>
        <w:t>400 heures</w:t>
      </w:r>
      <w:r w:rsidR="00131862" w:rsidRPr="000E6955">
        <w:t> ;</w:t>
      </w:r>
    </w:p>
    <w:p w14:paraId="22CC0D40" w14:textId="361EDD71" w:rsidR="00305BFB" w:rsidRPr="000E6955" w:rsidRDefault="00305BFB" w:rsidP="00D6022D">
      <w:pPr>
        <w:pStyle w:val="a"/>
      </w:pPr>
      <w:r w:rsidRPr="000E6955">
        <w:t xml:space="preserve">Travaux figurant sur la liste des </w:t>
      </w:r>
      <w:r w:rsidRPr="000E6955">
        <w:rPr>
          <w:b/>
        </w:rPr>
        <w:t>travaux dangereux</w:t>
      </w:r>
      <w:r w:rsidRPr="000E6955">
        <w:t xml:space="preserve"> (Annexe 1</w:t>
      </w:r>
      <w:r w:rsidR="00131862" w:rsidRPr="000E6955">
        <w:t xml:space="preserve"> de BT.P039</w:t>
      </w:r>
      <w:r w:rsidR="00131862" w:rsidRPr="000E6955">
        <w:rPr>
          <w:vertAlign w:val="superscript"/>
        </w:rPr>
        <w:fldChar w:fldCharType="begin"/>
      </w:r>
      <w:r w:rsidR="00131862" w:rsidRPr="000E6955">
        <w:rPr>
          <w:vertAlign w:val="superscript"/>
        </w:rPr>
        <w:instrText xml:space="preserve"> NOTEREF _Ref121999210 \h  \* MERGEFORMAT </w:instrText>
      </w:r>
      <w:r w:rsidR="00131862" w:rsidRPr="000E6955">
        <w:rPr>
          <w:vertAlign w:val="superscript"/>
        </w:rPr>
      </w:r>
      <w:r w:rsidR="00131862" w:rsidRPr="000E6955">
        <w:rPr>
          <w:vertAlign w:val="superscript"/>
        </w:rPr>
        <w:fldChar w:fldCharType="separate"/>
      </w:r>
      <w:r w:rsidR="00131862" w:rsidRPr="000E6955">
        <w:rPr>
          <w:vertAlign w:val="superscript"/>
        </w:rPr>
        <w:t>3</w:t>
      </w:r>
      <w:r w:rsidR="00131862" w:rsidRPr="000E6955">
        <w:rPr>
          <w:vertAlign w:val="superscript"/>
        </w:rPr>
        <w:fldChar w:fldCharType="end"/>
      </w:r>
      <w:r w:rsidRPr="000E6955">
        <w:rPr>
          <w:sz w:val="20"/>
          <w:szCs w:val="20"/>
        </w:rPr>
        <w:t>)</w:t>
      </w:r>
      <w:r w:rsidR="00D6022D" w:rsidRPr="000E6955">
        <w:rPr>
          <w:sz w:val="20"/>
          <w:szCs w:val="20"/>
        </w:rPr>
        <w:t>.</w:t>
      </w:r>
    </w:p>
    <w:p w14:paraId="43F5C6BC" w14:textId="115A2612" w:rsidR="008B2904" w:rsidRPr="000E6955" w:rsidRDefault="008B2904" w:rsidP="00131862">
      <w:pPr>
        <w:pStyle w:val="CorpsTexteI10BT"/>
        <w:spacing w:before="240"/>
      </w:pPr>
      <w:r w:rsidRPr="000E6955">
        <w:t>Les sous-traitants doivent obligatoirement appliquer les dispositions relatives à l’hygiène, la sécurité et à discipline générale de Bertin Technologies décrites dans le Règlement Intérieur de l’Entreprise. Ils prennent connaissance de celui-ci dès le premier jour de leur arrivée.</w:t>
      </w:r>
    </w:p>
    <w:p w14:paraId="4A734D91" w14:textId="62C94208" w:rsidR="003A0F7B" w:rsidRPr="000E6955" w:rsidRDefault="003A0F7B" w:rsidP="00131862">
      <w:pPr>
        <w:pStyle w:val="a"/>
        <w:spacing w:before="240"/>
      </w:pPr>
      <w:r w:rsidRPr="000E6955">
        <w:rPr>
          <w:b/>
        </w:rPr>
        <w:t>Indicateur de suivi</w:t>
      </w:r>
      <w:r w:rsidRPr="000E6955">
        <w:t> :</w:t>
      </w:r>
      <w:r w:rsidR="00CD1875" w:rsidRPr="000E6955">
        <w:t xml:space="preserve"> </w:t>
      </w:r>
      <w:r w:rsidRPr="000E6955">
        <w:t xml:space="preserve">Nombre de </w:t>
      </w:r>
      <w:r w:rsidR="009F0A71" w:rsidRPr="000E6955">
        <w:t xml:space="preserve">plans de prévention </w:t>
      </w:r>
      <w:r w:rsidR="00D223D0" w:rsidRPr="000E6955">
        <w:t>élaborés (dont ceux au titre des travaux dangereux).</w:t>
      </w:r>
    </w:p>
    <w:p w14:paraId="499F9BA8" w14:textId="53828AC4" w:rsidR="00524527" w:rsidRPr="000E6955" w:rsidRDefault="00524527" w:rsidP="000E6955">
      <w:pPr>
        <w:pStyle w:val="1"/>
        <w:pageBreakBefore/>
      </w:pPr>
      <w:bookmarkStart w:id="16" w:name="_Toc122001641"/>
      <w:r w:rsidRPr="000E6955">
        <w:lastRenderedPageBreak/>
        <w:t>Articulation vie professionnelle / personnelle</w:t>
      </w:r>
      <w:bookmarkEnd w:id="16"/>
    </w:p>
    <w:p w14:paraId="4437F5CE" w14:textId="5A5AE014" w:rsidR="008D2AB9" w:rsidRPr="000E6955" w:rsidRDefault="00FE6661" w:rsidP="008D2AB9">
      <w:pPr>
        <w:pStyle w:val="2"/>
        <w:jc w:val="both"/>
        <w:rPr>
          <w:rFonts w:eastAsia="Calibri"/>
        </w:rPr>
      </w:pPr>
      <w:bookmarkStart w:id="17" w:name="_Toc122001642"/>
      <w:bookmarkEnd w:id="13"/>
      <w:bookmarkEnd w:id="14"/>
      <w:r w:rsidRPr="000E6955">
        <w:rPr>
          <w:rFonts w:eastAsia="Calibri"/>
        </w:rPr>
        <w:t>La Charte Télétravail</w:t>
      </w:r>
      <w:bookmarkEnd w:id="17"/>
    </w:p>
    <w:p w14:paraId="6B534278" w14:textId="7B96261A" w:rsidR="005B5801" w:rsidRPr="000E6955" w:rsidRDefault="00F01EF1" w:rsidP="005B5801">
      <w:pPr>
        <w:pStyle w:val="CorpsTexteI10BT"/>
      </w:pPr>
      <w:r w:rsidRPr="000E6955">
        <w:t>Depuis quasiment 4 ans, le Télétravail a été mis en place chez Bertin Technologies.</w:t>
      </w:r>
      <w:r w:rsidR="006E24C1" w:rsidRPr="000E6955">
        <w:t xml:space="preserve"> A cette époque, le nombre de jours était limité à 2 jours par mois.</w:t>
      </w:r>
    </w:p>
    <w:p w14:paraId="295376F3" w14:textId="56BBAC76" w:rsidR="00F01EF1" w:rsidRPr="000E6955" w:rsidRDefault="00F01EF1" w:rsidP="000E6955">
      <w:pPr>
        <w:pStyle w:val="CorpsTexteI10BT"/>
        <w:spacing w:before="120"/>
      </w:pPr>
      <w:r w:rsidRPr="000E6955">
        <w:t>Les modalités de Télétravail sont décrites dans la</w:t>
      </w:r>
      <w:r w:rsidR="00C34225" w:rsidRPr="000E6955">
        <w:t xml:space="preserve"> Charte</w:t>
      </w:r>
      <w:r w:rsidR="00C34225" w:rsidRPr="000E6955">
        <w:rPr>
          <w:rStyle w:val="ae"/>
        </w:rPr>
        <w:footnoteReference w:id="4"/>
      </w:r>
      <w:r w:rsidRPr="000E6955">
        <w:t xml:space="preserve"> </w:t>
      </w:r>
      <w:r w:rsidR="00C34225" w:rsidRPr="000E6955">
        <w:t>disponible</w:t>
      </w:r>
      <w:r w:rsidRPr="000E6955">
        <w:t xml:space="preserve"> sur l’Intranet</w:t>
      </w:r>
      <w:r w:rsidR="000E6955" w:rsidRPr="000E6955">
        <w:t xml:space="preserve"> SMQSE</w:t>
      </w:r>
      <w:r w:rsidRPr="000E6955">
        <w:t>.</w:t>
      </w:r>
    </w:p>
    <w:p w14:paraId="30C0F6CF" w14:textId="093BE562" w:rsidR="00807F6F" w:rsidRPr="000E6955" w:rsidRDefault="00807F6F" w:rsidP="000E6955">
      <w:pPr>
        <w:pStyle w:val="CorpsTexteI10BT"/>
        <w:spacing w:before="120"/>
      </w:pPr>
      <w:r w:rsidRPr="000E6955">
        <w:t>A date</w:t>
      </w:r>
      <w:r w:rsidR="008A773E" w:rsidRPr="000E6955">
        <w:t xml:space="preserve"> et pour les collaborateurs éligibles, </w:t>
      </w:r>
      <w:r w:rsidRPr="000E6955">
        <w:t xml:space="preserve">le nombre de jours de Télétravail </w:t>
      </w:r>
      <w:r w:rsidR="008A773E" w:rsidRPr="000E6955">
        <w:t xml:space="preserve">autorisé </w:t>
      </w:r>
      <w:r w:rsidRPr="000E6955">
        <w:t xml:space="preserve">par semaine est de </w:t>
      </w:r>
      <w:r w:rsidRPr="000E6955">
        <w:rPr>
          <w:b/>
        </w:rPr>
        <w:t>2 jours</w:t>
      </w:r>
      <w:r w:rsidR="005557BC" w:rsidRPr="000E6955">
        <w:rPr>
          <w:b/>
        </w:rPr>
        <w:t xml:space="preserve"> </w:t>
      </w:r>
      <w:r w:rsidR="005557BC" w:rsidRPr="000E6955">
        <w:t>pour les collaborateurs à temps plein</w:t>
      </w:r>
      <w:r w:rsidR="006E24C1" w:rsidRPr="000E6955">
        <w:t>.</w:t>
      </w:r>
    </w:p>
    <w:p w14:paraId="54DA6F42" w14:textId="7A09EDE9" w:rsidR="006678A7" w:rsidRPr="000E6955" w:rsidRDefault="006678A7" w:rsidP="000E6955">
      <w:pPr>
        <w:pStyle w:val="a"/>
        <w:spacing w:before="240"/>
      </w:pPr>
      <w:r w:rsidRPr="000E6955">
        <w:rPr>
          <w:b/>
        </w:rPr>
        <w:t>Indicateurs de suivi</w:t>
      </w:r>
      <w:r w:rsidRPr="000E6955">
        <w:t> : nombre moyen de jours de télétravail par collaborateur.</w:t>
      </w:r>
    </w:p>
    <w:p w14:paraId="69F8FDA0" w14:textId="77777777" w:rsidR="00B3427D" w:rsidRPr="000E6955" w:rsidRDefault="00B3427D" w:rsidP="000E6955">
      <w:pPr>
        <w:pStyle w:val="CorpsTexteI10BT"/>
      </w:pPr>
    </w:p>
    <w:p w14:paraId="23793323" w14:textId="5D86E128" w:rsidR="008A773E" w:rsidRPr="000E6955" w:rsidRDefault="008A773E" w:rsidP="008A773E">
      <w:pPr>
        <w:pStyle w:val="2"/>
        <w:rPr>
          <w:rFonts w:eastAsia="Calibri"/>
        </w:rPr>
      </w:pPr>
      <w:bookmarkStart w:id="18" w:name="_Toc122001643"/>
      <w:r w:rsidRPr="000E6955">
        <w:rPr>
          <w:rFonts w:eastAsia="Calibri"/>
        </w:rPr>
        <w:t>Le droit à la déconnexion</w:t>
      </w:r>
      <w:bookmarkEnd w:id="18"/>
    </w:p>
    <w:p w14:paraId="51FB48EA" w14:textId="01FD0BE0" w:rsidR="008D7500" w:rsidRPr="000E6955" w:rsidRDefault="008D7500" w:rsidP="008D7500">
      <w:pPr>
        <w:pStyle w:val="CorpsTexteI10BT"/>
      </w:pPr>
      <w:r w:rsidRPr="000E6955">
        <w:t xml:space="preserve">Le développement des outils numériques et leur accessibilité croissante </w:t>
      </w:r>
      <w:r w:rsidR="00761BBD" w:rsidRPr="000E6955">
        <w:t xml:space="preserve">peuvent parfois avoir pour conséquence de </w:t>
      </w:r>
      <w:r w:rsidRPr="000E6955">
        <w:t>rend</w:t>
      </w:r>
      <w:r w:rsidR="00761BBD" w:rsidRPr="000E6955">
        <w:t>re</w:t>
      </w:r>
      <w:r w:rsidRPr="000E6955">
        <w:t xml:space="preserve"> plus floues les frontières entre vie privée et</w:t>
      </w:r>
      <w:r w:rsidR="007351E5" w:rsidRPr="000E6955">
        <w:t xml:space="preserve"> </w:t>
      </w:r>
      <w:r w:rsidRPr="000E6955">
        <w:t xml:space="preserve">vie professionnelle. Ils sont </w:t>
      </w:r>
      <w:r w:rsidR="00761BBD" w:rsidRPr="000E6955">
        <w:t xml:space="preserve">néanmoins </w:t>
      </w:r>
      <w:r w:rsidRPr="000E6955">
        <w:t xml:space="preserve">devenus un enjeu d'efficacité et plus largement de commodité d'organisation tant personnelle que collective. Ils représentent des leviers de performance pour Bertin Technologies, nos </w:t>
      </w:r>
      <w:r w:rsidR="005A4224" w:rsidRPr="000E6955">
        <w:t>salariés</w:t>
      </w:r>
      <w:r w:rsidRPr="000E6955">
        <w:t xml:space="preserve"> et nos clients.</w:t>
      </w:r>
    </w:p>
    <w:p w14:paraId="34460F2D" w14:textId="34EA443E" w:rsidR="008D7500" w:rsidRPr="000E6955" w:rsidRDefault="008D7500" w:rsidP="000E6955">
      <w:pPr>
        <w:pStyle w:val="CorpsTexteI10BT"/>
        <w:spacing w:before="120"/>
      </w:pPr>
      <w:r w:rsidRPr="000E6955">
        <w:t>Néanmoins</w:t>
      </w:r>
      <w:r w:rsidR="00133B21" w:rsidRPr="000E6955">
        <w:t>,</w:t>
      </w:r>
      <w:r w:rsidRPr="000E6955">
        <w:t xml:space="preserve"> parce qu'ils permettent d'être relié</w:t>
      </w:r>
      <w:r w:rsidR="008A5EF3" w:rsidRPr="000E6955">
        <w:t>s</w:t>
      </w:r>
      <w:r w:rsidRPr="000E6955">
        <w:t xml:space="preserve"> en permanence avec les environnements personnels et professionnels, la maîtrise des outils numériques est nécessaire pour leur utilisation efficiente. L'inscription du « droit à la déconnexion » dans le Code du travail par la loi Travail du 8 août 2016, renforce la volonté d’accompagner l'essor de ces outils, de s'approprier ce droit et de le rendre effectif dans les organisations de travail.</w:t>
      </w:r>
    </w:p>
    <w:p w14:paraId="4C811D02" w14:textId="77777777" w:rsidR="008D7500" w:rsidRPr="000E6955" w:rsidRDefault="008D7500" w:rsidP="000E6955">
      <w:pPr>
        <w:pStyle w:val="CorpsTexteI10BT"/>
        <w:spacing w:before="120"/>
      </w:pPr>
      <w:r w:rsidRPr="000E6955">
        <w:t>L’objectif est de bénéficier des progrès apportés par le digital tout en préservant la santé et la sécurité de nos collaborateurs, ainsi que le respect des temps de vie personnels et professionnels.</w:t>
      </w:r>
    </w:p>
    <w:p w14:paraId="43548F68" w14:textId="1E0E56A2" w:rsidR="00AB4284" w:rsidRPr="000E6955" w:rsidRDefault="00AB4284" w:rsidP="008D2AB9">
      <w:pPr>
        <w:pStyle w:val="CorpsTexteI10BT"/>
        <w:rPr>
          <w:highlight w:val="yellow"/>
        </w:rPr>
      </w:pPr>
    </w:p>
    <w:p w14:paraId="271E5421" w14:textId="572736DC" w:rsidR="00AB4284" w:rsidRPr="000E6955" w:rsidRDefault="008A5EF3" w:rsidP="009012D0">
      <w:pPr>
        <w:pStyle w:val="3"/>
      </w:pPr>
      <w:bookmarkStart w:id="19" w:name="_Hlk120716325"/>
      <w:r w:rsidRPr="000E6955">
        <w:t>Les orientations pour appréhender le droit à la déconnexion</w:t>
      </w:r>
    </w:p>
    <w:bookmarkEnd w:id="19"/>
    <w:p w14:paraId="230D63DE" w14:textId="43355614" w:rsidR="008A5EF3" w:rsidRPr="000E6955" w:rsidRDefault="0031020F" w:rsidP="000E6955">
      <w:pPr>
        <w:pStyle w:val="a"/>
        <w:spacing w:before="120"/>
      </w:pPr>
      <w:r w:rsidRPr="000E6955">
        <w:t>La transformation numérique offre de nombreuses possibilités de développement pour Bertin et ses salariés qu'il est indispensable de saisir dans un monde économique de plus en plus exigeant et concurrentiel.</w:t>
      </w:r>
    </w:p>
    <w:p w14:paraId="038956FF" w14:textId="1B6F8113" w:rsidR="0031020F" w:rsidRPr="000E6955" w:rsidRDefault="0031020F" w:rsidP="000E6955">
      <w:pPr>
        <w:pStyle w:val="a"/>
        <w:spacing w:before="120"/>
      </w:pPr>
      <w:r w:rsidRPr="000E6955">
        <w:t>Cette transformation numérique qui fait évoluer les méthodes et organisations de travail ne doit en aucun cas remettre en cause la santé et la sécurité de nos collaborateurs et le respect de leur vie privée et familiale.</w:t>
      </w:r>
    </w:p>
    <w:p w14:paraId="642702A0" w14:textId="4705B86B" w:rsidR="0031020F" w:rsidRPr="000E6955" w:rsidRDefault="0031020F" w:rsidP="000E6955">
      <w:pPr>
        <w:pStyle w:val="a"/>
        <w:spacing w:before="120"/>
      </w:pPr>
      <w:r w:rsidRPr="000E6955">
        <w:t>En matière d'utilisation des outils numériques et donc du « droit à la déconnexion », la responsabilité est partagée entre l'</w:t>
      </w:r>
      <w:r w:rsidR="005A4224" w:rsidRPr="000E6955">
        <w:t>E</w:t>
      </w:r>
      <w:r w:rsidRPr="000E6955">
        <w:t>ntreprise et le salarié.</w:t>
      </w:r>
    </w:p>
    <w:p w14:paraId="3A4BAF9C" w14:textId="5C52ED9B" w:rsidR="005A4224" w:rsidRPr="000E6955" w:rsidRDefault="005A4224" w:rsidP="000E6955">
      <w:pPr>
        <w:pStyle w:val="a"/>
        <w:spacing w:before="120"/>
      </w:pPr>
      <w:r w:rsidRPr="000E6955">
        <w:t>L’exemplarité managériale est essentielle pour l'exercice effectif du « droit à la déconnexion ».</w:t>
      </w:r>
    </w:p>
    <w:p w14:paraId="4D12C3F7" w14:textId="28A239D2" w:rsidR="0031020F" w:rsidRPr="000E6955" w:rsidRDefault="00487B52" w:rsidP="000E6955">
      <w:pPr>
        <w:pStyle w:val="a"/>
        <w:spacing w:before="120"/>
      </w:pPr>
      <w:r w:rsidRPr="000E6955">
        <w:t>Au regard de notre contexte économique et de nos activités, l'approche du « droit à la déconnexion » doit prendre en compte le service aux clients.</w:t>
      </w:r>
    </w:p>
    <w:p w14:paraId="0E4CB185" w14:textId="39022248" w:rsidR="00487B52" w:rsidRPr="000E6955" w:rsidRDefault="00487B52" w:rsidP="000E6955">
      <w:pPr>
        <w:pStyle w:val="a"/>
        <w:spacing w:before="120"/>
      </w:pPr>
      <w:r w:rsidRPr="000E6955">
        <w:t>Le « droit à la déconnexion » concerne l'ensemble des outils numériques nomades (smartphones, tablettes, ordinateurs portables...).</w:t>
      </w:r>
    </w:p>
    <w:p w14:paraId="4F186C2E" w14:textId="2284FC4C" w:rsidR="00487B52" w:rsidRPr="000E6955" w:rsidRDefault="00487B52" w:rsidP="000E6955">
      <w:pPr>
        <w:pStyle w:val="a"/>
        <w:spacing w:before="120"/>
      </w:pPr>
      <w:r w:rsidRPr="000E6955">
        <w:t>L’évolution très rapide du digital conduit à écarter également des solutions rigides, qui seraient dépassées très rapidement par les progrès techniques.</w:t>
      </w:r>
    </w:p>
    <w:p w14:paraId="5300D10B" w14:textId="77777777" w:rsidR="00487B52" w:rsidRPr="000E6955" w:rsidRDefault="00487B52" w:rsidP="000E6955">
      <w:pPr>
        <w:pStyle w:val="CorpsTexteI10BT"/>
      </w:pPr>
    </w:p>
    <w:p w14:paraId="166AF509" w14:textId="1CBD91B5" w:rsidR="00C4393A" w:rsidRPr="000E6955" w:rsidRDefault="00C4393A" w:rsidP="009012D0">
      <w:pPr>
        <w:pStyle w:val="3"/>
      </w:pPr>
      <w:bookmarkStart w:id="20" w:name="_Ref121999528"/>
      <w:bookmarkStart w:id="21" w:name="_Hlk120717002"/>
      <w:r w:rsidRPr="000E6955">
        <w:lastRenderedPageBreak/>
        <w:t>Le droit à la déconnexion : les principes</w:t>
      </w:r>
      <w:bookmarkEnd w:id="20"/>
    </w:p>
    <w:bookmarkEnd w:id="21"/>
    <w:p w14:paraId="2E6A86D6" w14:textId="63FAA723" w:rsidR="00C4393A" w:rsidRPr="000E6955" w:rsidRDefault="00C4393A" w:rsidP="00C4393A">
      <w:pPr>
        <w:pStyle w:val="a"/>
      </w:pPr>
      <w:r w:rsidRPr="000E6955">
        <w:t xml:space="preserve">Principe 1 : </w:t>
      </w:r>
    </w:p>
    <w:p w14:paraId="21EAC967" w14:textId="3E741068" w:rsidR="00C4393A" w:rsidRPr="000E6955" w:rsidRDefault="00D3536D" w:rsidP="00D3536D">
      <w:pPr>
        <w:pStyle w:val="a"/>
        <w:numPr>
          <w:ilvl w:val="0"/>
          <w:numId w:val="0"/>
        </w:numPr>
        <w:ind w:left="794" w:hanging="397"/>
        <w:rPr>
          <w:rFonts w:ascii="Tahoma" w:hAnsi="Tahoma" w:cs="Tahoma"/>
          <w:color w:val="000000"/>
        </w:rPr>
      </w:pPr>
      <w:r w:rsidRPr="000E6955">
        <w:t>Un « droit à la déconnexion » est reconnu à l'ensemble des salariés de Bertin Technologies.</w:t>
      </w:r>
    </w:p>
    <w:p w14:paraId="41F7A8C0" w14:textId="7E8E6FD3" w:rsidR="00D3536D" w:rsidRPr="000E6955" w:rsidRDefault="00D3536D" w:rsidP="00D3536D">
      <w:pPr>
        <w:autoSpaceDE w:val="0"/>
        <w:autoSpaceDN w:val="0"/>
        <w:adjustRightInd w:val="0"/>
        <w:spacing w:after="0"/>
        <w:ind w:left="397" w:right="-2"/>
        <w:rPr>
          <w:rFonts w:eastAsia="Calibri" w:cs="Arial"/>
          <w:szCs w:val="22"/>
          <w:lang w:eastAsia="en-US"/>
        </w:rPr>
      </w:pPr>
      <w:r w:rsidRPr="000E6955">
        <w:rPr>
          <w:rFonts w:eastAsia="Calibri" w:cs="Arial"/>
          <w:szCs w:val="22"/>
          <w:lang w:eastAsia="en-US"/>
        </w:rPr>
        <w:t>Au titre de ce droit, sauf situation d'urgence ou gravité indiquée comme telle - à définir collectivement au sein de chaque service/équipe</w:t>
      </w:r>
      <w:r w:rsidR="003D28E8">
        <w:rPr>
          <w:rFonts w:eastAsia="Calibri" w:cs="Arial"/>
          <w:szCs w:val="22"/>
          <w:lang w:eastAsia="en-US"/>
        </w:rPr>
        <w:t xml:space="preserve"> (</w:t>
      </w:r>
      <w:r w:rsidR="003D28E8">
        <w:t>Arbitrage par les HRBP le cas échéant</w:t>
      </w:r>
      <w:r w:rsidR="003D28E8" w:rsidRPr="000E6955">
        <w:rPr>
          <w:rStyle w:val="ae"/>
          <w:rFonts w:eastAsia="Calibri" w:cs="Arial"/>
          <w:szCs w:val="22"/>
          <w:lang w:eastAsia="en-US"/>
        </w:rPr>
        <w:t xml:space="preserve"> </w:t>
      </w:r>
      <w:r w:rsidR="003D28E8">
        <w:rPr>
          <w:rFonts w:eastAsia="Calibri" w:cs="Arial"/>
          <w:szCs w:val="22"/>
          <w:lang w:eastAsia="en-US"/>
        </w:rPr>
        <w:t>)</w:t>
      </w:r>
      <w:r w:rsidR="003D28E8">
        <w:rPr>
          <w:rFonts w:eastAsia="Calibri" w:cs="Arial"/>
          <w:szCs w:val="22"/>
          <w:lang w:eastAsia="en-US"/>
        </w:rPr>
        <w:fldChar w:fldCharType="begin"/>
      </w:r>
      <w:r w:rsidR="003D28E8">
        <w:rPr>
          <w:rFonts w:eastAsia="Calibri" w:cs="Arial"/>
          <w:szCs w:val="22"/>
          <w:lang w:eastAsia="en-US"/>
        </w:rPr>
        <w:instrText xml:space="preserve"> NOTEREF _Ref122001239 \h </w:instrText>
      </w:r>
      <w:r w:rsidR="003D28E8">
        <w:rPr>
          <w:rFonts w:eastAsia="Calibri" w:cs="Arial"/>
          <w:szCs w:val="22"/>
          <w:lang w:eastAsia="en-US"/>
        </w:rPr>
      </w:r>
      <w:r w:rsidR="003D28E8">
        <w:rPr>
          <w:rFonts w:eastAsia="Calibri" w:cs="Arial"/>
          <w:szCs w:val="22"/>
          <w:lang w:eastAsia="en-US"/>
        </w:rPr>
        <w:fldChar w:fldCharType="separate"/>
      </w:r>
      <w:r w:rsidR="003D28E8">
        <w:rPr>
          <w:rFonts w:eastAsia="Calibri" w:cs="Arial"/>
          <w:szCs w:val="22"/>
          <w:lang w:eastAsia="en-US"/>
        </w:rPr>
        <w:t>1</w:t>
      </w:r>
      <w:r w:rsidR="003D28E8">
        <w:rPr>
          <w:rFonts w:eastAsia="Calibri" w:cs="Arial"/>
          <w:szCs w:val="22"/>
          <w:lang w:eastAsia="en-US"/>
        </w:rPr>
        <w:fldChar w:fldCharType="end"/>
      </w:r>
      <w:r w:rsidRPr="000E6955">
        <w:rPr>
          <w:rFonts w:eastAsia="Calibri" w:cs="Arial"/>
          <w:szCs w:val="22"/>
          <w:lang w:eastAsia="en-US"/>
        </w:rPr>
        <w:t>, aucun salarié ne peut se voir reprocher de ne pas répondre à une sollicitation pendant ses périodes de repos ou de suspension du contrat de travail journaliers et hebdomadaires : congés payés et autres congés, arrêts maladie</w:t>
      </w:r>
      <w:r w:rsidR="00725815" w:rsidRPr="000E6955">
        <w:rPr>
          <w:rFonts w:eastAsia="Calibri" w:cs="Arial"/>
          <w:szCs w:val="22"/>
          <w:lang w:eastAsia="en-US"/>
        </w:rPr>
        <w:t>,</w:t>
      </w:r>
      <w:r w:rsidRPr="000E6955">
        <w:rPr>
          <w:rFonts w:eastAsia="Calibri" w:cs="Arial"/>
          <w:szCs w:val="22"/>
          <w:lang w:eastAsia="en-US"/>
        </w:rPr>
        <w:t xml:space="preserve"> </w:t>
      </w:r>
      <w:r w:rsidR="00725815" w:rsidRPr="000E6955">
        <w:rPr>
          <w:rFonts w:eastAsia="Calibri" w:cs="Arial"/>
          <w:szCs w:val="22"/>
          <w:lang w:eastAsia="en-US"/>
        </w:rPr>
        <w:t>..</w:t>
      </w:r>
      <w:r w:rsidRPr="000E6955">
        <w:rPr>
          <w:rFonts w:eastAsia="Calibri" w:cs="Arial"/>
          <w:szCs w:val="22"/>
          <w:lang w:eastAsia="en-US"/>
        </w:rPr>
        <w:t>.</w:t>
      </w:r>
    </w:p>
    <w:p w14:paraId="5511A531" w14:textId="4614D9E0" w:rsidR="00D3536D" w:rsidRPr="000E6955" w:rsidRDefault="00D3536D" w:rsidP="00725815">
      <w:pPr>
        <w:autoSpaceDE w:val="0"/>
        <w:autoSpaceDN w:val="0"/>
        <w:adjustRightInd w:val="0"/>
        <w:spacing w:after="0"/>
        <w:ind w:left="397" w:right="-2"/>
        <w:rPr>
          <w:rFonts w:eastAsia="Calibri" w:cs="Arial"/>
          <w:szCs w:val="22"/>
          <w:lang w:eastAsia="en-US"/>
        </w:rPr>
      </w:pPr>
      <w:r w:rsidRPr="000E6955">
        <w:rPr>
          <w:rFonts w:eastAsia="Calibri" w:cs="Arial"/>
          <w:szCs w:val="22"/>
          <w:lang w:eastAsia="en-US"/>
        </w:rPr>
        <w:t>Ce principe ne s'applique pas aux salariés lorsqu'ils assurent des astreintes.</w:t>
      </w:r>
    </w:p>
    <w:p w14:paraId="0E9EB4DA" w14:textId="74B42308" w:rsidR="00EF2D43" w:rsidRPr="000E6955" w:rsidRDefault="00EF2D43" w:rsidP="000E6955">
      <w:pPr>
        <w:pStyle w:val="a"/>
        <w:spacing w:before="120"/>
      </w:pPr>
      <w:r w:rsidRPr="000E6955">
        <w:t>Principe 2 :</w:t>
      </w:r>
    </w:p>
    <w:p w14:paraId="5ECEE37A" w14:textId="77777777" w:rsidR="006A7C92" w:rsidRPr="000E6955" w:rsidRDefault="00EF2D43" w:rsidP="00D807A0">
      <w:pPr>
        <w:autoSpaceDE w:val="0"/>
        <w:autoSpaceDN w:val="0"/>
        <w:adjustRightInd w:val="0"/>
        <w:spacing w:after="0"/>
        <w:ind w:left="397" w:right="-2"/>
        <w:rPr>
          <w:rFonts w:eastAsia="Calibri" w:cs="Arial"/>
          <w:szCs w:val="22"/>
          <w:lang w:eastAsia="en-US"/>
        </w:rPr>
      </w:pPr>
      <w:r w:rsidRPr="000E6955">
        <w:rPr>
          <w:rFonts w:eastAsia="Calibri" w:cs="Arial"/>
          <w:szCs w:val="22"/>
          <w:lang w:eastAsia="en-US"/>
        </w:rPr>
        <w:t xml:space="preserve">Il appartient au salarié </w:t>
      </w:r>
      <w:r w:rsidR="006A7C92" w:rsidRPr="000E6955">
        <w:rPr>
          <w:rFonts w:eastAsia="Calibri" w:cs="Arial"/>
          <w:szCs w:val="22"/>
          <w:lang w:eastAsia="en-US"/>
        </w:rPr>
        <w:t>de décider de se connecter ou non en dehors des périodes habituelles de travail.</w:t>
      </w:r>
    </w:p>
    <w:p w14:paraId="41F9B316" w14:textId="77777777" w:rsidR="006A7C92" w:rsidRPr="000E6955" w:rsidRDefault="006A7C92" w:rsidP="00D807A0">
      <w:pPr>
        <w:autoSpaceDE w:val="0"/>
        <w:autoSpaceDN w:val="0"/>
        <w:adjustRightInd w:val="0"/>
        <w:spacing w:after="0"/>
        <w:ind w:left="397" w:right="-2"/>
        <w:rPr>
          <w:rFonts w:eastAsia="Calibri" w:cs="Arial"/>
          <w:szCs w:val="22"/>
          <w:lang w:eastAsia="en-US"/>
        </w:rPr>
      </w:pPr>
      <w:r w:rsidRPr="000E6955">
        <w:rPr>
          <w:rFonts w:eastAsia="Calibri" w:cs="Arial"/>
          <w:szCs w:val="22"/>
          <w:lang w:eastAsia="en-US"/>
        </w:rPr>
        <w:t>Dans ce cas, il doit veiller à respecter les périodes minimales de repos journalier (11 heures consécutives) et hebdomadaire.</w:t>
      </w:r>
    </w:p>
    <w:p w14:paraId="3DB0E5D7" w14:textId="70EDFA3C" w:rsidR="00EF2D43" w:rsidRPr="000E6955" w:rsidRDefault="00EF2D43" w:rsidP="00EF2D43">
      <w:pPr>
        <w:pStyle w:val="a"/>
        <w:numPr>
          <w:ilvl w:val="0"/>
          <w:numId w:val="0"/>
        </w:numPr>
        <w:ind w:left="397"/>
      </w:pPr>
    </w:p>
    <w:p w14:paraId="7B4A8A78" w14:textId="6D4FB837" w:rsidR="00D807A0" w:rsidRPr="000E6955" w:rsidRDefault="00D807A0" w:rsidP="009012D0">
      <w:pPr>
        <w:pStyle w:val="3"/>
      </w:pPr>
      <w:r w:rsidRPr="000E6955">
        <w:t>Modalités pratiques d’exercice du droit à la déconnexion</w:t>
      </w:r>
    </w:p>
    <w:p w14:paraId="75D61936" w14:textId="77777777" w:rsidR="0063146B" w:rsidRPr="000E6955" w:rsidRDefault="0063146B" w:rsidP="000E6955">
      <w:pPr>
        <w:pStyle w:val="a"/>
        <w:spacing w:before="240"/>
        <w:rPr>
          <w:b/>
        </w:rPr>
      </w:pPr>
      <w:r w:rsidRPr="000E6955">
        <w:rPr>
          <w:b/>
        </w:rPr>
        <w:t>Définition de la situation d'urgence ou grave</w:t>
      </w:r>
    </w:p>
    <w:p w14:paraId="4F6F6A61" w14:textId="1AA27D7B" w:rsidR="0063146B" w:rsidRPr="000E6955" w:rsidRDefault="0063146B" w:rsidP="0063146B">
      <w:pPr>
        <w:autoSpaceDE w:val="0"/>
        <w:autoSpaceDN w:val="0"/>
        <w:adjustRightInd w:val="0"/>
        <w:spacing w:after="0"/>
        <w:ind w:left="397" w:right="-2"/>
        <w:rPr>
          <w:rFonts w:eastAsia="Calibri" w:cs="Arial"/>
          <w:szCs w:val="22"/>
          <w:lang w:eastAsia="en-US"/>
        </w:rPr>
      </w:pPr>
      <w:r w:rsidRPr="000E6955">
        <w:rPr>
          <w:rFonts w:eastAsia="Calibri" w:cs="Arial"/>
          <w:szCs w:val="22"/>
          <w:lang w:eastAsia="en-US"/>
        </w:rPr>
        <w:t>Il convient de définir</w:t>
      </w:r>
      <w:r w:rsidR="00286EA6" w:rsidRPr="000E6955">
        <w:rPr>
          <w:rFonts w:eastAsia="Calibri" w:cs="Arial"/>
          <w:szCs w:val="22"/>
          <w:lang w:eastAsia="en-US"/>
        </w:rPr>
        <w:t>, au sein de chaque équipe/service</w:t>
      </w:r>
      <w:r w:rsidR="00027B5A" w:rsidRPr="000E6955">
        <w:rPr>
          <w:rFonts w:eastAsia="Calibri" w:cs="Arial"/>
          <w:szCs w:val="22"/>
          <w:lang w:eastAsia="en-US"/>
        </w:rPr>
        <w:t xml:space="preserve"> (</w:t>
      </w:r>
      <w:r w:rsidR="000E6955" w:rsidRPr="000E6955">
        <w:rPr>
          <w:rFonts w:eastAsia="Calibri" w:cs="Arial"/>
          <w:szCs w:val="22"/>
          <w:lang w:eastAsia="en-US"/>
        </w:rPr>
        <w:t>Cf</w:t>
      </w:r>
      <w:r w:rsidR="00027B5A" w:rsidRPr="000E6955">
        <w:rPr>
          <w:rFonts w:eastAsia="Calibri" w:cs="Arial"/>
          <w:szCs w:val="22"/>
          <w:lang w:eastAsia="en-US"/>
        </w:rPr>
        <w:t xml:space="preserve">. </w:t>
      </w:r>
      <w:r w:rsidR="000E6955" w:rsidRPr="000E6955">
        <w:rPr>
          <w:rFonts w:eastAsia="Calibri" w:cs="Arial"/>
          <w:szCs w:val="22"/>
          <w:lang w:eastAsia="en-US"/>
        </w:rPr>
        <w:t>§ </w:t>
      </w:r>
      <w:r w:rsidR="000E6955" w:rsidRPr="000E6955">
        <w:rPr>
          <w:rFonts w:eastAsia="Calibri" w:cs="Arial"/>
          <w:szCs w:val="22"/>
          <w:lang w:eastAsia="en-US"/>
        </w:rPr>
        <w:fldChar w:fldCharType="begin"/>
      </w:r>
      <w:r w:rsidR="000E6955" w:rsidRPr="000E6955">
        <w:rPr>
          <w:rFonts w:eastAsia="Calibri" w:cs="Arial"/>
          <w:szCs w:val="22"/>
          <w:lang w:eastAsia="en-US"/>
        </w:rPr>
        <w:instrText xml:space="preserve"> REF _Ref121999528 \r \h </w:instrText>
      </w:r>
      <w:r w:rsidR="000E6955" w:rsidRPr="000E6955">
        <w:rPr>
          <w:rFonts w:eastAsia="Calibri" w:cs="Arial"/>
          <w:szCs w:val="22"/>
          <w:lang w:eastAsia="en-US"/>
        </w:rPr>
      </w:r>
      <w:r w:rsidR="000E6955" w:rsidRPr="000E6955">
        <w:rPr>
          <w:rFonts w:eastAsia="Calibri" w:cs="Arial"/>
          <w:szCs w:val="22"/>
          <w:lang w:eastAsia="en-US"/>
        </w:rPr>
        <w:fldChar w:fldCharType="separate"/>
      </w:r>
      <w:r w:rsidR="000E6955" w:rsidRPr="000E6955">
        <w:rPr>
          <w:rFonts w:eastAsia="Calibri" w:cs="Arial"/>
          <w:szCs w:val="22"/>
          <w:lang w:eastAsia="en-US"/>
        </w:rPr>
        <w:t>2.2.2</w:t>
      </w:r>
      <w:r w:rsidR="000E6955" w:rsidRPr="000E6955">
        <w:rPr>
          <w:rFonts w:eastAsia="Calibri" w:cs="Arial"/>
          <w:szCs w:val="22"/>
          <w:lang w:eastAsia="en-US"/>
        </w:rPr>
        <w:fldChar w:fldCharType="end"/>
      </w:r>
      <w:r w:rsidR="00027B5A" w:rsidRPr="000E6955">
        <w:rPr>
          <w:rFonts w:eastAsia="Calibri" w:cs="Arial"/>
          <w:szCs w:val="22"/>
          <w:lang w:eastAsia="en-US"/>
        </w:rPr>
        <w:t>. – principe 1)</w:t>
      </w:r>
      <w:r w:rsidR="00301E36" w:rsidRPr="000E6955">
        <w:rPr>
          <w:rFonts w:eastAsia="Calibri" w:cs="Arial"/>
          <w:szCs w:val="22"/>
          <w:lang w:eastAsia="en-US"/>
        </w:rPr>
        <w:t>,</w:t>
      </w:r>
      <w:r w:rsidRPr="000E6955">
        <w:rPr>
          <w:rFonts w:eastAsia="Calibri" w:cs="Arial"/>
          <w:szCs w:val="22"/>
          <w:lang w:eastAsia="en-US"/>
        </w:rPr>
        <w:t xml:space="preserve"> les situations d'urgence qui permettent de solliciter le salarié en dehors de ses horaires de travail.</w:t>
      </w:r>
    </w:p>
    <w:p w14:paraId="39D8A8CB" w14:textId="77777777" w:rsidR="0063146B" w:rsidRPr="000E6955" w:rsidRDefault="0063146B" w:rsidP="000E6955">
      <w:pPr>
        <w:pStyle w:val="a"/>
        <w:spacing w:before="240"/>
        <w:rPr>
          <w:b/>
        </w:rPr>
      </w:pPr>
      <w:bookmarkStart w:id="22" w:name="_Toc492297611"/>
      <w:r w:rsidRPr="000E6955">
        <w:rPr>
          <w:b/>
        </w:rPr>
        <w:t>Utilisation de fonctions spécifiques d'envoi de messagerie</w:t>
      </w:r>
      <w:bookmarkEnd w:id="22"/>
    </w:p>
    <w:p w14:paraId="1B68C8A2" w14:textId="51D435AB" w:rsidR="0063146B" w:rsidRPr="000E6955" w:rsidRDefault="0063146B" w:rsidP="0063146B">
      <w:pPr>
        <w:autoSpaceDE w:val="0"/>
        <w:autoSpaceDN w:val="0"/>
        <w:adjustRightInd w:val="0"/>
        <w:spacing w:after="0"/>
        <w:ind w:left="397" w:right="-2"/>
        <w:rPr>
          <w:rFonts w:eastAsia="Calibri" w:cs="Arial"/>
          <w:szCs w:val="22"/>
          <w:lang w:eastAsia="en-US"/>
        </w:rPr>
      </w:pPr>
      <w:r w:rsidRPr="000E6955">
        <w:rPr>
          <w:rFonts w:eastAsia="Calibri" w:cs="Arial"/>
          <w:szCs w:val="22"/>
          <w:lang w:eastAsia="en-US"/>
        </w:rPr>
        <w:t>Les courriels doivent, en priorité, être envoyés pendant les heures habituelles de travail. Pour les salariés qui décident de se connecter en dehors des heures habituelles de travail, il est fortement recommandé, soit de préparer leurs messages en mode brouillon ou hors connexion, soit d'utiliser la fonction d'envoi différé. Si le salarié souhaite envoyer un message en dehors des heures habituelles de travail, il veillera à indiquer que ce message n'appelle pas de réponse immédiate (sauf situation d'urgence).</w:t>
      </w:r>
    </w:p>
    <w:p w14:paraId="0FB6497D" w14:textId="77777777" w:rsidR="0063146B" w:rsidRPr="000E6955" w:rsidRDefault="0063146B" w:rsidP="000E6955">
      <w:pPr>
        <w:pStyle w:val="a"/>
        <w:spacing w:before="240"/>
        <w:rPr>
          <w:b/>
        </w:rPr>
      </w:pPr>
      <w:bookmarkStart w:id="23" w:name="_Toc492297612"/>
      <w:r w:rsidRPr="000E6955">
        <w:rPr>
          <w:b/>
        </w:rPr>
        <w:t>Intégration d'alertes dans la signature de messages</w:t>
      </w:r>
      <w:bookmarkEnd w:id="23"/>
    </w:p>
    <w:p w14:paraId="03A6DDF9" w14:textId="5996BDAC" w:rsidR="0063146B" w:rsidRPr="000E6955" w:rsidRDefault="0063146B" w:rsidP="0063146B">
      <w:pPr>
        <w:autoSpaceDE w:val="0"/>
        <w:autoSpaceDN w:val="0"/>
        <w:adjustRightInd w:val="0"/>
        <w:spacing w:after="0"/>
        <w:ind w:left="397" w:right="-2"/>
        <w:rPr>
          <w:rFonts w:eastAsia="Calibri" w:cs="Arial"/>
          <w:szCs w:val="22"/>
          <w:lang w:eastAsia="en-US"/>
        </w:rPr>
      </w:pPr>
      <w:r w:rsidRPr="000E6955">
        <w:rPr>
          <w:rFonts w:eastAsia="Calibri" w:cs="Arial"/>
          <w:szCs w:val="22"/>
          <w:lang w:eastAsia="en-US"/>
        </w:rPr>
        <w:t>Pour permettre l'exercice effectif du «</w:t>
      </w:r>
      <w:r w:rsidR="00E23E6D" w:rsidRPr="000E6955">
        <w:rPr>
          <w:rFonts w:eastAsia="Calibri" w:cs="Arial"/>
          <w:szCs w:val="22"/>
          <w:lang w:eastAsia="en-US"/>
        </w:rPr>
        <w:t xml:space="preserve"> </w:t>
      </w:r>
      <w:r w:rsidRPr="000E6955">
        <w:rPr>
          <w:rFonts w:eastAsia="Calibri" w:cs="Arial"/>
          <w:szCs w:val="22"/>
          <w:lang w:eastAsia="en-US"/>
        </w:rPr>
        <w:t>droit à la déconnexion » par les salariés, la mention automatique suivante sera intégrée dans les courriels :</w:t>
      </w:r>
    </w:p>
    <w:p w14:paraId="5B8CD7E6" w14:textId="3472DFA8" w:rsidR="0063146B" w:rsidRPr="000E6955" w:rsidRDefault="000E6955" w:rsidP="000E6955">
      <w:pPr>
        <w:autoSpaceDE w:val="0"/>
        <w:autoSpaceDN w:val="0"/>
        <w:adjustRightInd w:val="0"/>
        <w:spacing w:before="120" w:after="0"/>
        <w:ind w:left="397"/>
        <w:rPr>
          <w:rFonts w:eastAsia="Calibri" w:cs="Arial"/>
          <w:i/>
          <w:szCs w:val="22"/>
          <w:lang w:eastAsia="en-US"/>
        </w:rPr>
      </w:pPr>
      <w:r w:rsidRPr="000E6955">
        <w:rPr>
          <w:rFonts w:eastAsia="Calibri" w:cs="Arial"/>
          <w:i/>
          <w:szCs w:val="22"/>
          <w:lang w:eastAsia="en-US"/>
        </w:rPr>
        <w:t>« </w:t>
      </w:r>
      <w:r w:rsidR="0063146B" w:rsidRPr="000E6955">
        <w:rPr>
          <w:rFonts w:eastAsia="Calibri" w:cs="Arial"/>
          <w:i/>
          <w:szCs w:val="22"/>
          <w:lang w:eastAsia="en-US"/>
        </w:rPr>
        <w:t>Si vous recevez ce message en dehors de vos horaires habituels de travail, vous n'êtes pas tenu d'y répondre immédiatement</w:t>
      </w:r>
      <w:r w:rsidRPr="000E6955">
        <w:rPr>
          <w:rFonts w:eastAsia="Calibri" w:cs="Arial"/>
          <w:i/>
          <w:szCs w:val="22"/>
          <w:lang w:eastAsia="en-US"/>
        </w:rPr>
        <w:t> »</w:t>
      </w:r>
      <w:r w:rsidR="0063146B" w:rsidRPr="000E6955">
        <w:rPr>
          <w:rFonts w:eastAsia="Calibri" w:cs="Arial"/>
          <w:i/>
          <w:szCs w:val="22"/>
          <w:lang w:eastAsia="en-US"/>
        </w:rPr>
        <w:t>.</w:t>
      </w:r>
    </w:p>
    <w:p w14:paraId="49906E9C" w14:textId="77777777" w:rsidR="0063146B" w:rsidRPr="000E6955" w:rsidRDefault="0063146B" w:rsidP="000E6955">
      <w:pPr>
        <w:pStyle w:val="a"/>
        <w:spacing w:before="240"/>
        <w:rPr>
          <w:b/>
        </w:rPr>
      </w:pPr>
      <w:bookmarkStart w:id="24" w:name="_Toc492297613"/>
      <w:r w:rsidRPr="000E6955">
        <w:rPr>
          <w:b/>
        </w:rPr>
        <w:t>Message d'absence</w:t>
      </w:r>
      <w:bookmarkEnd w:id="24"/>
    </w:p>
    <w:p w14:paraId="4D3A067F" w14:textId="5CB3A3CF" w:rsidR="0063146B" w:rsidRPr="000E6955" w:rsidRDefault="0063146B" w:rsidP="0063146B">
      <w:pPr>
        <w:autoSpaceDE w:val="0"/>
        <w:autoSpaceDN w:val="0"/>
        <w:adjustRightInd w:val="0"/>
        <w:spacing w:after="0"/>
        <w:ind w:left="397" w:right="-2"/>
        <w:rPr>
          <w:rFonts w:eastAsia="Calibri" w:cs="Arial"/>
          <w:szCs w:val="22"/>
          <w:lang w:eastAsia="en-US"/>
        </w:rPr>
      </w:pPr>
      <w:r w:rsidRPr="000E6955">
        <w:rPr>
          <w:rFonts w:eastAsia="Calibri" w:cs="Arial"/>
          <w:szCs w:val="22"/>
          <w:lang w:eastAsia="en-US"/>
        </w:rPr>
        <w:t>Lorsqu'un salarié est amené à être absent pour une durée supérieure à une journée (congés payés, congés spéciaux, congés maternité,</w:t>
      </w:r>
      <w:r w:rsidR="000144D6" w:rsidRPr="000E6955">
        <w:rPr>
          <w:rFonts w:eastAsia="Calibri" w:cs="Arial"/>
          <w:szCs w:val="22"/>
          <w:lang w:eastAsia="en-US"/>
        </w:rPr>
        <w:t xml:space="preserve"> </w:t>
      </w:r>
      <w:r w:rsidRPr="000E6955">
        <w:rPr>
          <w:rFonts w:eastAsia="Calibri" w:cs="Arial"/>
          <w:szCs w:val="22"/>
          <w:lang w:eastAsia="en-US"/>
        </w:rPr>
        <w:t>arrêt maladie</w:t>
      </w:r>
      <w:r w:rsidR="000144D6" w:rsidRPr="000E6955">
        <w:rPr>
          <w:rFonts w:eastAsia="Calibri" w:cs="Arial"/>
          <w:szCs w:val="22"/>
          <w:lang w:eastAsia="en-US"/>
        </w:rPr>
        <w:t xml:space="preserve">, </w:t>
      </w:r>
      <w:r w:rsidRPr="000E6955">
        <w:rPr>
          <w:rFonts w:eastAsia="Calibri" w:cs="Arial"/>
          <w:szCs w:val="22"/>
          <w:lang w:eastAsia="en-US"/>
        </w:rPr>
        <w:t>...), un message automatique d'absence est mis en place par le salarié à l'attention des interlocuteurs internes et externes à l'</w:t>
      </w:r>
      <w:r w:rsidR="000144D6" w:rsidRPr="000E6955">
        <w:rPr>
          <w:rFonts w:eastAsia="Calibri" w:cs="Arial"/>
          <w:szCs w:val="22"/>
          <w:lang w:eastAsia="en-US"/>
        </w:rPr>
        <w:t>E</w:t>
      </w:r>
      <w:r w:rsidRPr="000E6955">
        <w:rPr>
          <w:rFonts w:eastAsia="Calibri" w:cs="Arial"/>
          <w:szCs w:val="22"/>
          <w:lang w:eastAsia="en-US"/>
        </w:rPr>
        <w:t>ntreprise, leur indiquant l'interlocuteur à joindre et ses coordonnées.</w:t>
      </w:r>
    </w:p>
    <w:p w14:paraId="2249B117" w14:textId="77777777" w:rsidR="0063146B" w:rsidRPr="000E6955" w:rsidRDefault="0063146B" w:rsidP="000E6955">
      <w:pPr>
        <w:autoSpaceDE w:val="0"/>
        <w:autoSpaceDN w:val="0"/>
        <w:adjustRightInd w:val="0"/>
        <w:spacing w:before="120" w:after="0"/>
        <w:ind w:left="397"/>
        <w:rPr>
          <w:rFonts w:eastAsia="Calibri" w:cs="Arial"/>
          <w:szCs w:val="22"/>
          <w:lang w:eastAsia="en-US"/>
        </w:rPr>
      </w:pPr>
      <w:r w:rsidRPr="000E6955">
        <w:rPr>
          <w:rFonts w:eastAsia="Calibri" w:cs="Arial"/>
          <w:szCs w:val="22"/>
          <w:lang w:eastAsia="en-US"/>
        </w:rPr>
        <w:t xml:space="preserve">La personne adaptée sera définie au sein de chaque équipe en tenant compte de son domaine d'activité, de la nature et la durée prévisible de l'absence. </w:t>
      </w:r>
    </w:p>
    <w:p w14:paraId="3D66899F" w14:textId="77777777" w:rsidR="0063146B" w:rsidRPr="000E6955" w:rsidRDefault="0063146B" w:rsidP="000E6955">
      <w:pPr>
        <w:pStyle w:val="a"/>
        <w:spacing w:before="240"/>
        <w:rPr>
          <w:b/>
        </w:rPr>
      </w:pPr>
      <w:bookmarkStart w:id="25" w:name="_Toc492297614"/>
      <w:r w:rsidRPr="000E6955">
        <w:rPr>
          <w:b/>
        </w:rPr>
        <w:t>Dispositifs de vigilance</w:t>
      </w:r>
      <w:bookmarkEnd w:id="25"/>
    </w:p>
    <w:p w14:paraId="0894C077" w14:textId="11E5D505" w:rsidR="0063146B" w:rsidRPr="000E6955" w:rsidRDefault="0063146B" w:rsidP="00294949">
      <w:pPr>
        <w:pStyle w:val="a"/>
        <w:numPr>
          <w:ilvl w:val="1"/>
          <w:numId w:val="2"/>
        </w:numPr>
      </w:pPr>
      <w:r w:rsidRPr="000E6955">
        <w:t>Chaque salarié peut alerter son responsable hiérarchique lorsqu'il rencontre des difficultés d</w:t>
      </w:r>
      <w:r w:rsidR="00DE0EC0" w:rsidRPr="000E6955">
        <w:t>ans</w:t>
      </w:r>
      <w:r w:rsidRPr="000E6955">
        <w:t xml:space="preserve"> l'utilisation des outils numériques ou des situations d'usage anormal des outils numériques. En cas de difficultés, des mesures d’accompagnement seront mises en place.</w:t>
      </w:r>
    </w:p>
    <w:p w14:paraId="4B6D3FC3" w14:textId="77777777" w:rsidR="0063146B" w:rsidRPr="000E6955" w:rsidRDefault="0063146B" w:rsidP="00294949">
      <w:pPr>
        <w:pStyle w:val="a"/>
        <w:numPr>
          <w:ilvl w:val="1"/>
          <w:numId w:val="2"/>
        </w:numPr>
      </w:pPr>
      <w:r w:rsidRPr="000E6955">
        <w:t>L'utilisation des outils numériques peut être abordée lors de l'entretien annuel. La compétence numérique peut également être abordée lors de l'entretien professionnel.</w:t>
      </w:r>
    </w:p>
    <w:p w14:paraId="1AD7B534" w14:textId="77777777" w:rsidR="0063146B" w:rsidRPr="000E6955" w:rsidRDefault="0063146B" w:rsidP="000E6955">
      <w:pPr>
        <w:pStyle w:val="a"/>
        <w:spacing w:before="240"/>
        <w:rPr>
          <w:b/>
        </w:rPr>
      </w:pPr>
      <w:bookmarkStart w:id="26" w:name="_Toc492297615"/>
      <w:r w:rsidRPr="000E6955">
        <w:rPr>
          <w:b/>
        </w:rPr>
        <w:lastRenderedPageBreak/>
        <w:t>Dialogue dans l'équipe sur l'usage des outils numériques</w:t>
      </w:r>
      <w:bookmarkEnd w:id="26"/>
    </w:p>
    <w:p w14:paraId="5BFF6227" w14:textId="3F9EF55D" w:rsidR="0063146B" w:rsidRPr="000E6955" w:rsidRDefault="0063146B" w:rsidP="0090575C">
      <w:pPr>
        <w:autoSpaceDE w:val="0"/>
        <w:autoSpaceDN w:val="0"/>
        <w:adjustRightInd w:val="0"/>
        <w:spacing w:after="0"/>
        <w:ind w:left="360" w:right="-2"/>
        <w:rPr>
          <w:rFonts w:eastAsia="Calibri" w:cs="Arial"/>
          <w:szCs w:val="22"/>
          <w:lang w:eastAsia="en-US"/>
        </w:rPr>
      </w:pPr>
      <w:r w:rsidRPr="000E6955">
        <w:rPr>
          <w:rFonts w:eastAsia="Calibri" w:cs="Arial"/>
          <w:szCs w:val="22"/>
          <w:lang w:eastAsia="en-US"/>
        </w:rPr>
        <w:t>Chaque équipe échange et définit des règles de fonctionnement digital adaptées à son métier et à son contexte. Ces règles peuvent porter notamment sur des sujets suivants</w:t>
      </w:r>
      <w:r w:rsidR="000E6955">
        <w:rPr>
          <w:rFonts w:eastAsia="Calibri" w:cs="Arial"/>
          <w:szCs w:val="22"/>
          <w:lang w:eastAsia="en-US"/>
        </w:rPr>
        <w:t> :</w:t>
      </w:r>
    </w:p>
    <w:p w14:paraId="20ADE606" w14:textId="06632E59" w:rsidR="0063146B" w:rsidRPr="000E6955" w:rsidRDefault="0063146B" w:rsidP="000E6955">
      <w:pPr>
        <w:pStyle w:val="a"/>
        <w:numPr>
          <w:ilvl w:val="1"/>
          <w:numId w:val="2"/>
        </w:numPr>
        <w:spacing w:before="120"/>
      </w:pPr>
      <w:r w:rsidRPr="000E6955">
        <w:t>Situations d'urgence ou graves dans l'exercice du métier : identification des situations concernées (urgence/gravité du problème), des interlocuteurs à avertir ainsi que de moyens de communication les plus adaptés</w:t>
      </w:r>
      <w:r w:rsidR="000E6955">
        <w:t> ;</w:t>
      </w:r>
    </w:p>
    <w:p w14:paraId="1BED09A2" w14:textId="0F118F76" w:rsidR="0063146B" w:rsidRPr="000E6955" w:rsidRDefault="0063146B" w:rsidP="000E6955">
      <w:pPr>
        <w:pStyle w:val="a"/>
        <w:numPr>
          <w:ilvl w:val="1"/>
          <w:numId w:val="2"/>
        </w:numPr>
        <w:spacing w:before="120"/>
      </w:pPr>
      <w:r w:rsidRPr="000E6955">
        <w:t>Préparation des absences : modalités de passation des dossiers entre collègues avant les périodes d'absence pour éviter de déranger les collègues en repos ou en congés (type d'informations à transmettre, forme, moyen communication adaptée...), information des interlocuteurs de la personne absente</w:t>
      </w:r>
      <w:r w:rsidR="000E6955">
        <w:t> ;</w:t>
      </w:r>
    </w:p>
    <w:p w14:paraId="1A64F42C" w14:textId="57E7C827" w:rsidR="0063146B" w:rsidRPr="000E6955" w:rsidRDefault="0063146B" w:rsidP="000E6955">
      <w:pPr>
        <w:pStyle w:val="a"/>
        <w:numPr>
          <w:ilvl w:val="1"/>
          <w:numId w:val="2"/>
        </w:numPr>
        <w:spacing w:before="120"/>
      </w:pPr>
      <w:r w:rsidRPr="000E6955">
        <w:t>Circulation des informations entre les membres de l'équipe : informations à faire circuler et le moyen de communication adapté (réunions d'équipe, échanges oraux, mails), éléments à faire figurer dans le message (ex : nom du client, numéro du dossier, contacts...)</w:t>
      </w:r>
      <w:r w:rsidR="000E6955">
        <w:t> ;</w:t>
      </w:r>
    </w:p>
    <w:p w14:paraId="1AE6DC56" w14:textId="08E12218" w:rsidR="0063146B" w:rsidRPr="000E6955" w:rsidRDefault="0063146B" w:rsidP="000E6955">
      <w:pPr>
        <w:pStyle w:val="a"/>
        <w:numPr>
          <w:ilvl w:val="1"/>
          <w:numId w:val="2"/>
        </w:numPr>
        <w:spacing w:before="120"/>
      </w:pPr>
      <w:r w:rsidRPr="000E6955">
        <w:t xml:space="preserve">Echanges descendants/ascendants avec la hiérarchie et </w:t>
      </w:r>
      <w:proofErr w:type="spellStart"/>
      <w:r w:rsidRPr="000E6955">
        <w:t>reporting</w:t>
      </w:r>
      <w:proofErr w:type="spellEnd"/>
      <w:r w:rsidR="000E6955">
        <w:t> :</w:t>
      </w:r>
      <w:r w:rsidRPr="000E6955">
        <w:t xml:space="preserve"> moyens les plus adaptés (courriels, échanges oraux...), situations</w:t>
      </w:r>
      <w:r w:rsidR="00F24F84" w:rsidRPr="000E6955">
        <w:t xml:space="preserve"> </w:t>
      </w:r>
      <w:r w:rsidRPr="000E6955">
        <w:t>nécessitant ou non une réponse immédiate, un accusé de réception, gestion des sollicitations urgentes (moyen de communication, réponse attendue).</w:t>
      </w:r>
    </w:p>
    <w:p w14:paraId="7515CB1D" w14:textId="77777777" w:rsidR="0063146B" w:rsidRPr="000E6955" w:rsidRDefault="0063146B" w:rsidP="000E6955">
      <w:pPr>
        <w:pStyle w:val="a"/>
        <w:spacing w:before="240"/>
        <w:rPr>
          <w:b/>
        </w:rPr>
      </w:pPr>
      <w:bookmarkStart w:id="27" w:name="_Toc492297616"/>
      <w:bookmarkStart w:id="28" w:name="_Hlk512351358"/>
      <w:r w:rsidRPr="000E6955">
        <w:rPr>
          <w:b/>
        </w:rPr>
        <w:t>Régulation du bon usage des outils numériques</w:t>
      </w:r>
      <w:bookmarkEnd w:id="27"/>
    </w:p>
    <w:bookmarkEnd w:id="28"/>
    <w:p w14:paraId="7CC987AE" w14:textId="0206F45F" w:rsidR="0063146B" w:rsidRPr="000E6955" w:rsidRDefault="0063146B" w:rsidP="000E6955">
      <w:pPr>
        <w:pStyle w:val="a"/>
        <w:numPr>
          <w:ilvl w:val="1"/>
          <w:numId w:val="2"/>
        </w:numPr>
        <w:spacing w:before="120"/>
      </w:pPr>
      <w:r w:rsidRPr="000E6955">
        <w:t>Choisir le moyen de communication adapté au contexte, en favorisant les échanges directs (face à face, Teams, téléphone...)</w:t>
      </w:r>
      <w:r w:rsidR="000E6955">
        <w:t> ;</w:t>
      </w:r>
    </w:p>
    <w:p w14:paraId="4148B75B" w14:textId="1ADFBF25" w:rsidR="0063146B" w:rsidRPr="000E6955" w:rsidRDefault="0063146B" w:rsidP="000E6955">
      <w:pPr>
        <w:pStyle w:val="a"/>
        <w:numPr>
          <w:ilvl w:val="1"/>
          <w:numId w:val="2"/>
        </w:numPr>
        <w:spacing w:before="120"/>
      </w:pPr>
      <w:r w:rsidRPr="000E6955">
        <w:t>Prendre le temps de réflexion pour rédiger un message et observer une rigueur dans sa rédaction : respecter les règles de politesse, définir un objet explicite du message et se mettre à la place de celui qui lira le message pour s'assurer que le message est clair et complet. Penser à indiquer l’éventuel délai de traitement souhaité</w:t>
      </w:r>
      <w:r w:rsidR="000E6955">
        <w:t> ;</w:t>
      </w:r>
    </w:p>
    <w:p w14:paraId="5BB9AC1D" w14:textId="2D3A36B3" w:rsidR="0063146B" w:rsidRPr="000E6955" w:rsidRDefault="0063146B" w:rsidP="000E6955">
      <w:pPr>
        <w:pStyle w:val="a"/>
        <w:numPr>
          <w:ilvl w:val="1"/>
          <w:numId w:val="2"/>
        </w:numPr>
        <w:spacing w:before="120"/>
      </w:pPr>
      <w:r w:rsidRPr="000E6955">
        <w:t>Ne pas abuser des pièces jointes et choisir des intitulés clairs des documents (nature du document, sujet, date)</w:t>
      </w:r>
      <w:r w:rsidR="000E6955">
        <w:t> ;</w:t>
      </w:r>
    </w:p>
    <w:p w14:paraId="6DA6A6B9" w14:textId="71B3B693" w:rsidR="0063146B" w:rsidRPr="000E6955" w:rsidRDefault="0063146B" w:rsidP="000E6955">
      <w:pPr>
        <w:pStyle w:val="a"/>
        <w:numPr>
          <w:ilvl w:val="1"/>
          <w:numId w:val="2"/>
        </w:numPr>
        <w:spacing w:before="120"/>
      </w:pPr>
      <w:r w:rsidRPr="000E6955">
        <w:t>Identifier les destinataires du message (notamment veiller à l'utilisation adaptée des fonctionnalités « répondre à tous », « copie » et « copie cachée »)</w:t>
      </w:r>
      <w:r w:rsidR="000E6955">
        <w:t> ;</w:t>
      </w:r>
    </w:p>
    <w:p w14:paraId="7A5D4B95" w14:textId="40071E4B" w:rsidR="0063146B" w:rsidRPr="000E6955" w:rsidRDefault="0063146B" w:rsidP="000E6955">
      <w:pPr>
        <w:pStyle w:val="a"/>
        <w:numPr>
          <w:ilvl w:val="1"/>
          <w:numId w:val="2"/>
        </w:numPr>
        <w:spacing w:before="120"/>
      </w:pPr>
      <w:r w:rsidRPr="000E6955">
        <w:t>Choisir le moment le plus opportun pour l'envoi d'un message : éviter d'envoyer des messages en dehors des heures et jours habituels de travail</w:t>
      </w:r>
      <w:r w:rsidR="000E6955">
        <w:t> ;</w:t>
      </w:r>
    </w:p>
    <w:p w14:paraId="1FA10336" w14:textId="1E1DC00C" w:rsidR="0063146B" w:rsidRPr="000E6955" w:rsidRDefault="0063146B" w:rsidP="000E6955">
      <w:pPr>
        <w:pStyle w:val="a"/>
        <w:numPr>
          <w:ilvl w:val="1"/>
          <w:numId w:val="2"/>
        </w:numPr>
        <w:spacing w:before="120"/>
      </w:pPr>
      <w:r w:rsidRPr="000E6955">
        <w:t>Ne pas envoyer de message sous le coup de l'émotion et se relire avant envoi</w:t>
      </w:r>
      <w:r w:rsidR="000E6955">
        <w:t> ;</w:t>
      </w:r>
    </w:p>
    <w:p w14:paraId="79542509" w14:textId="65A5896D" w:rsidR="0063146B" w:rsidRPr="000E6955" w:rsidRDefault="0063146B" w:rsidP="000E6955">
      <w:pPr>
        <w:pStyle w:val="a"/>
        <w:numPr>
          <w:ilvl w:val="1"/>
          <w:numId w:val="2"/>
        </w:numPr>
        <w:spacing w:before="120"/>
      </w:pPr>
      <w:r w:rsidRPr="000E6955">
        <w:t>Limiter le nombre d'interruptions journalières pour la gestion des messages : se réserver quelques plages horaires par jour pour le traitement des messages, ne pas regarder ses messages pendant les réunions</w:t>
      </w:r>
      <w:r w:rsidR="000E6955">
        <w:t> ;</w:t>
      </w:r>
    </w:p>
    <w:p w14:paraId="0B35B501" w14:textId="77777777" w:rsidR="0063146B" w:rsidRPr="000E6955" w:rsidRDefault="0063146B" w:rsidP="000E6955">
      <w:pPr>
        <w:pStyle w:val="a"/>
        <w:numPr>
          <w:ilvl w:val="1"/>
          <w:numId w:val="2"/>
        </w:numPr>
        <w:spacing w:before="120"/>
      </w:pPr>
      <w:r w:rsidRPr="000E6955">
        <w:t>En cas d'absence prolongée, prévoir une réponse automatique alertant de l'absence et indiquant l'interlocuteur à joindre.</w:t>
      </w:r>
    </w:p>
    <w:p w14:paraId="05A63429" w14:textId="5631578E" w:rsidR="00D3536D" w:rsidRPr="000E6955" w:rsidRDefault="009E7DF8" w:rsidP="000E6955">
      <w:pPr>
        <w:pStyle w:val="a"/>
        <w:spacing w:before="240"/>
        <w:rPr>
          <w:b/>
        </w:rPr>
      </w:pPr>
      <w:r w:rsidRPr="000E6955">
        <w:rPr>
          <w:b/>
        </w:rPr>
        <w:t>Utilisation personnelle de son ordinateur portable</w:t>
      </w:r>
    </w:p>
    <w:p w14:paraId="100E0D7D" w14:textId="63C913C5" w:rsidR="009E7DF8" w:rsidRPr="000E6955" w:rsidRDefault="00802995" w:rsidP="000E6955">
      <w:pPr>
        <w:pStyle w:val="a"/>
        <w:numPr>
          <w:ilvl w:val="0"/>
          <w:numId w:val="0"/>
        </w:numPr>
        <w:spacing w:before="120"/>
        <w:ind w:left="397"/>
      </w:pPr>
      <w:r w:rsidRPr="000E6955">
        <w:t>Dans le cadre du respect de la Charte d’utilisation des ressources informatiques et de communication, tout</w:t>
      </w:r>
      <w:r w:rsidR="006E1A96" w:rsidRPr="000E6955">
        <w:t xml:space="preserve"> salarié</w:t>
      </w:r>
      <w:r w:rsidR="009E7DF8" w:rsidRPr="000E6955">
        <w:t xml:space="preserve"> </w:t>
      </w:r>
      <w:r w:rsidR="006E1A96" w:rsidRPr="000E6955">
        <w:t>peut</w:t>
      </w:r>
      <w:r w:rsidR="009E7DF8" w:rsidRPr="000E6955">
        <w:t xml:space="preserve"> utilise</w:t>
      </w:r>
      <w:r w:rsidR="006E1A96" w:rsidRPr="000E6955">
        <w:t>r</w:t>
      </w:r>
      <w:r w:rsidR="009E7DF8" w:rsidRPr="000E6955">
        <w:t xml:space="preserve"> son ordinateur portable pour des </w:t>
      </w:r>
      <w:r w:rsidR="00286CE0" w:rsidRPr="000E6955">
        <w:t>motifs privé</w:t>
      </w:r>
      <w:r w:rsidRPr="000E6955">
        <w:t xml:space="preserve">s. Il </w:t>
      </w:r>
      <w:r w:rsidR="009E7DF8" w:rsidRPr="000E6955">
        <w:t xml:space="preserve">devra </w:t>
      </w:r>
      <w:r w:rsidR="00D917CC" w:rsidRPr="000E6955">
        <w:t xml:space="preserve">se déconnecter du réseau interne de Bertin Technologies </w:t>
      </w:r>
      <w:r w:rsidR="008E3D1E" w:rsidRPr="000E6955">
        <w:t>(</w:t>
      </w:r>
      <w:proofErr w:type="spellStart"/>
      <w:r w:rsidR="008E3D1E" w:rsidRPr="000E6955">
        <w:t>GlobalProtect</w:t>
      </w:r>
      <w:proofErr w:type="spellEnd"/>
      <w:r w:rsidR="008E3D1E" w:rsidRPr="000E6955">
        <w:t xml:space="preserve">) </w:t>
      </w:r>
      <w:r w:rsidR="00D917CC" w:rsidRPr="000E6955">
        <w:t xml:space="preserve">en cliquant sur </w:t>
      </w:r>
      <w:r w:rsidR="008E3D1E" w:rsidRPr="000E6955">
        <w:t>« </w:t>
      </w:r>
      <w:r w:rsidR="00D917CC" w:rsidRPr="000E6955">
        <w:t>Désactiver</w:t>
      </w:r>
      <w:r w:rsidR="008E3D1E" w:rsidRPr="000E6955">
        <w:t> ».</w:t>
      </w:r>
    </w:p>
    <w:p w14:paraId="6170FC16" w14:textId="47F10631" w:rsidR="008D2AB9" w:rsidRPr="000E6955" w:rsidRDefault="00AB4284" w:rsidP="000E6955">
      <w:pPr>
        <w:pStyle w:val="1"/>
        <w:tabs>
          <w:tab w:val="clear" w:pos="567"/>
        </w:tabs>
        <w:spacing w:before="600"/>
        <w:ind w:left="1134" w:hanging="1134"/>
        <w:jc w:val="both"/>
        <w:rPr>
          <w:sz w:val="22"/>
          <w:szCs w:val="22"/>
        </w:rPr>
      </w:pPr>
      <w:bookmarkStart w:id="29" w:name="_Toc122001644"/>
      <w:r w:rsidRPr="000E6955">
        <w:lastRenderedPageBreak/>
        <w:t>Egalite professionnelle Femmes / Hommes</w:t>
      </w:r>
      <w:r w:rsidR="00C20D36" w:rsidRPr="000E6955">
        <w:t xml:space="preserve"> (f/h)</w:t>
      </w:r>
      <w:bookmarkEnd w:id="29"/>
    </w:p>
    <w:p w14:paraId="55A5222B" w14:textId="21AD6C57" w:rsidR="00B246A9" w:rsidRPr="000E6955" w:rsidRDefault="00B246A9" w:rsidP="009012D0">
      <w:pPr>
        <w:pStyle w:val="CorpsTexteI10BT"/>
        <w:rPr>
          <w:b/>
          <w:bCs/>
          <w:caps/>
        </w:rPr>
      </w:pPr>
      <w:bookmarkStart w:id="30" w:name="_Toc34828623"/>
      <w:bookmarkStart w:id="31" w:name="_Toc34828683"/>
      <w:bookmarkStart w:id="32" w:name="_Toc34831663"/>
      <w:bookmarkStart w:id="33" w:name="_Toc34832619"/>
      <w:bookmarkStart w:id="34" w:name="_Toc34832675"/>
      <w:bookmarkStart w:id="35" w:name="_Toc34833800"/>
      <w:bookmarkStart w:id="36" w:name="_Toc34836488"/>
      <w:bookmarkStart w:id="37" w:name="_Toc36126926"/>
      <w:r w:rsidRPr="000E6955">
        <w:t xml:space="preserve">L’objet de </w:t>
      </w:r>
      <w:r w:rsidR="001F5067" w:rsidRPr="000E6955">
        <w:t>ce thème</w:t>
      </w:r>
      <w:r w:rsidRPr="000E6955">
        <w:t xml:space="preserve"> est d’assurer à la fois l’égalité de traitement et l’égalité des chances entre les femmes </w:t>
      </w:r>
      <w:r w:rsidR="004836BF" w:rsidRPr="000E6955">
        <w:t xml:space="preserve">et les hommes au sein </w:t>
      </w:r>
      <w:r w:rsidRPr="000E6955">
        <w:t>de Bertin Technologies.</w:t>
      </w:r>
      <w:bookmarkEnd w:id="30"/>
      <w:bookmarkEnd w:id="31"/>
      <w:bookmarkEnd w:id="32"/>
      <w:bookmarkEnd w:id="33"/>
      <w:bookmarkEnd w:id="34"/>
      <w:bookmarkEnd w:id="35"/>
      <w:bookmarkEnd w:id="36"/>
      <w:bookmarkEnd w:id="37"/>
    </w:p>
    <w:p w14:paraId="245987AA" w14:textId="41A74327" w:rsidR="00FE757A" w:rsidRPr="000E6955" w:rsidRDefault="00FE757A" w:rsidP="000E6955">
      <w:pPr>
        <w:pStyle w:val="CorpsTexteI10BT"/>
        <w:spacing w:before="120"/>
        <w:rPr>
          <w:highlight w:val="yellow"/>
        </w:rPr>
      </w:pPr>
      <w:r w:rsidRPr="000E6955">
        <w:t>La Direction réaffirme sa volonté de faire appliquer les principes de non-discrimination au sein de la Société.</w:t>
      </w:r>
    </w:p>
    <w:p w14:paraId="3B1CB499" w14:textId="338467D0" w:rsidR="00B246A9" w:rsidRPr="000E6955" w:rsidRDefault="000E17C5" w:rsidP="000E6955">
      <w:pPr>
        <w:pStyle w:val="CorpsTexteI10BT"/>
        <w:spacing w:before="120"/>
        <w:rPr>
          <w:b/>
          <w:bCs/>
          <w:caps/>
        </w:rPr>
      </w:pPr>
      <w:bookmarkStart w:id="38" w:name="_Toc34828624"/>
      <w:bookmarkStart w:id="39" w:name="_Toc34828684"/>
      <w:bookmarkStart w:id="40" w:name="_Toc34831664"/>
      <w:bookmarkStart w:id="41" w:name="_Toc34832620"/>
      <w:bookmarkStart w:id="42" w:name="_Toc34832676"/>
      <w:bookmarkStart w:id="43" w:name="_Toc34833801"/>
      <w:bookmarkStart w:id="44" w:name="_Toc34836489"/>
      <w:bookmarkStart w:id="45" w:name="_Toc36126927"/>
      <w:r w:rsidRPr="000E6955">
        <w:t>Après avoir identifié des domaines d’action, les parties conviennent de fixer des objectifs de progression suivant :</w:t>
      </w:r>
      <w:bookmarkEnd w:id="38"/>
      <w:bookmarkEnd w:id="39"/>
      <w:bookmarkEnd w:id="40"/>
      <w:bookmarkEnd w:id="41"/>
      <w:bookmarkEnd w:id="42"/>
      <w:bookmarkEnd w:id="43"/>
      <w:bookmarkEnd w:id="44"/>
      <w:bookmarkEnd w:id="45"/>
    </w:p>
    <w:p w14:paraId="5749176A" w14:textId="77777777" w:rsidR="00B246A9" w:rsidRPr="000E6955" w:rsidRDefault="00B246A9" w:rsidP="00B246A9">
      <w:pPr>
        <w:pStyle w:val="a"/>
        <w:spacing w:after="0"/>
      </w:pPr>
      <w:r w:rsidRPr="000E6955">
        <w:t>Le recrutement : la mixité des emplois</w:t>
      </w:r>
    </w:p>
    <w:p w14:paraId="2A142270" w14:textId="77777777" w:rsidR="00B246A9" w:rsidRPr="000E6955" w:rsidRDefault="00B246A9" w:rsidP="00B246A9">
      <w:pPr>
        <w:pStyle w:val="a"/>
        <w:spacing w:after="0"/>
      </w:pPr>
      <w:r w:rsidRPr="000E6955">
        <w:t>L’aménagement des postes de travail</w:t>
      </w:r>
    </w:p>
    <w:p w14:paraId="6179EFDD" w14:textId="77777777" w:rsidR="00B246A9" w:rsidRPr="000E6955" w:rsidRDefault="00B246A9" w:rsidP="00B246A9">
      <w:pPr>
        <w:pStyle w:val="a"/>
        <w:spacing w:after="0"/>
      </w:pPr>
      <w:r w:rsidRPr="000E6955">
        <w:t>La rémunération</w:t>
      </w:r>
    </w:p>
    <w:p w14:paraId="1DF3CE93" w14:textId="367785AC" w:rsidR="00B246A9" w:rsidRPr="000E6955" w:rsidRDefault="00B246A9" w:rsidP="00B246A9">
      <w:pPr>
        <w:pStyle w:val="a"/>
        <w:spacing w:after="0"/>
      </w:pPr>
      <w:r w:rsidRPr="000E6955">
        <w:t>La Formation Professionnelle</w:t>
      </w:r>
    </w:p>
    <w:p w14:paraId="65B79C8D" w14:textId="77777777" w:rsidR="00B246A9" w:rsidRPr="000E6955" w:rsidRDefault="00B246A9" w:rsidP="000E6955">
      <w:pPr>
        <w:pStyle w:val="CorpsTexteI10BT"/>
        <w:spacing w:before="240"/>
      </w:pPr>
      <w:r w:rsidRPr="000E6955">
        <w:t>Afin d'atteindre ces objectifs, les signataires conviennent de mettre en œuvre les actions décrites dans le présent accord.</w:t>
      </w:r>
    </w:p>
    <w:p w14:paraId="01BE2E68" w14:textId="21BAD794" w:rsidR="00C20D36" w:rsidRPr="000E6955" w:rsidRDefault="00C20D36" w:rsidP="008D2AB9">
      <w:pPr>
        <w:pStyle w:val="CorpsTexteI10BT"/>
        <w:rPr>
          <w:highlight w:val="yellow"/>
        </w:rPr>
      </w:pPr>
    </w:p>
    <w:p w14:paraId="17ECFAF8" w14:textId="46FC9148" w:rsidR="008E31DD" w:rsidRPr="000E6955" w:rsidRDefault="005756BE" w:rsidP="008E31DD">
      <w:pPr>
        <w:pStyle w:val="2"/>
      </w:pPr>
      <w:bookmarkStart w:id="46" w:name="_Toc122001645"/>
      <w:r w:rsidRPr="000E6955">
        <w:t>Le recrutement : la mixité des emplois</w:t>
      </w:r>
      <w:bookmarkEnd w:id="46"/>
    </w:p>
    <w:p w14:paraId="121365BB" w14:textId="24F73702" w:rsidR="002B10C1" w:rsidRPr="000E6955" w:rsidRDefault="002B10C1" w:rsidP="009012D0">
      <w:pPr>
        <w:pStyle w:val="CorpsTexteI10BT"/>
      </w:pPr>
      <w:r w:rsidRPr="000E6955">
        <w:t>Dans le rapport de branche 2018 des Bureaux d’Etudes Techniques - secteur de l’Ingénierie -, la proportion de Femmes ne représente que 30 % (vs 33 % en 2014). Le Bilan Social 2021 de Bertin</w:t>
      </w:r>
      <w:r w:rsidR="000E6955">
        <w:t> </w:t>
      </w:r>
      <w:r w:rsidRPr="000E6955">
        <w:t>Technologies indique que la population féminine est de 28,9 % au 31</w:t>
      </w:r>
      <w:r w:rsidR="007351E5" w:rsidRPr="000E6955">
        <w:t xml:space="preserve"> décembre </w:t>
      </w:r>
      <w:r w:rsidRPr="000E6955">
        <w:t>2021.</w:t>
      </w:r>
    </w:p>
    <w:p w14:paraId="607FA2F4" w14:textId="77777777" w:rsidR="002B10C1" w:rsidRPr="000E6955" w:rsidRDefault="002B10C1" w:rsidP="000E6955">
      <w:pPr>
        <w:pStyle w:val="CorpsTexteI10BT"/>
        <w:spacing w:before="120"/>
      </w:pPr>
      <w:r w:rsidRPr="000E6955">
        <w:t>Le recrutement dans Bertin Technologies exclu toute forme de discrimination qu’elle soit directe ou indirecte, fondée sur la religion, les convictions politiques, l’orientation sexuelle, les caractéristiques physiques ou encore le sexe.</w:t>
      </w:r>
    </w:p>
    <w:p w14:paraId="33B7F9A4" w14:textId="1445B13D" w:rsidR="002B10C1" w:rsidRPr="000E6955" w:rsidRDefault="002B10C1" w:rsidP="000E6955">
      <w:pPr>
        <w:tabs>
          <w:tab w:val="center" w:pos="4536"/>
          <w:tab w:val="right" w:pos="9072"/>
        </w:tabs>
        <w:spacing w:before="240"/>
        <w:rPr>
          <w:rFonts w:cs="Arial"/>
          <w:szCs w:val="22"/>
        </w:rPr>
      </w:pPr>
      <w:r w:rsidRPr="000E6955">
        <w:rPr>
          <w:rFonts w:cs="Arial"/>
          <w:b/>
          <w:szCs w:val="22"/>
        </w:rPr>
        <w:t>Objectif :</w:t>
      </w:r>
      <w:r w:rsidRPr="000E6955">
        <w:rPr>
          <w:rFonts w:cs="Arial"/>
          <w:szCs w:val="22"/>
        </w:rPr>
        <w:t xml:space="preserve"> atteindre </w:t>
      </w:r>
      <w:r w:rsidR="00AC7970" w:rsidRPr="000E6955">
        <w:rPr>
          <w:rFonts w:cs="Arial"/>
          <w:szCs w:val="22"/>
        </w:rPr>
        <w:t xml:space="preserve">puis maintenir </w:t>
      </w:r>
      <w:r w:rsidRPr="000E6955">
        <w:rPr>
          <w:rFonts w:cs="Arial"/>
          <w:szCs w:val="22"/>
        </w:rPr>
        <w:t>un effectif de la population féminine à hauteur de 3</w:t>
      </w:r>
      <w:r w:rsidR="00AC7970" w:rsidRPr="000E6955">
        <w:rPr>
          <w:rFonts w:cs="Arial"/>
          <w:szCs w:val="22"/>
        </w:rPr>
        <w:t>0</w:t>
      </w:r>
      <w:r w:rsidRPr="000E6955">
        <w:rPr>
          <w:rFonts w:cs="Arial"/>
          <w:szCs w:val="22"/>
        </w:rPr>
        <w:t xml:space="preserve"> % sur les 4</w:t>
      </w:r>
      <w:r w:rsidR="00AC7970" w:rsidRPr="000E6955">
        <w:rPr>
          <w:rFonts w:cs="Arial"/>
          <w:szCs w:val="22"/>
        </w:rPr>
        <w:t> </w:t>
      </w:r>
      <w:r w:rsidRPr="000E6955">
        <w:rPr>
          <w:rFonts w:cs="Arial"/>
          <w:szCs w:val="22"/>
        </w:rPr>
        <w:t>ans.</w:t>
      </w:r>
    </w:p>
    <w:p w14:paraId="75ED66B0" w14:textId="4D358C45" w:rsidR="00FA1541" w:rsidRPr="000E6955" w:rsidRDefault="00FA1541" w:rsidP="00FA1541">
      <w:pPr>
        <w:autoSpaceDE w:val="0"/>
        <w:autoSpaceDN w:val="0"/>
        <w:adjustRightInd w:val="0"/>
        <w:rPr>
          <w:rFonts w:cs="Arial"/>
          <w:szCs w:val="22"/>
        </w:rPr>
      </w:pPr>
    </w:p>
    <w:p w14:paraId="0529249C" w14:textId="2437FC4B" w:rsidR="00FB664A" w:rsidRPr="000E6955" w:rsidRDefault="00FB664A" w:rsidP="000E6955">
      <w:pPr>
        <w:pStyle w:val="3"/>
      </w:pPr>
      <w:r w:rsidRPr="000E6955">
        <w:t>Le suivi des candidatures et l’équilibre des recrutements</w:t>
      </w:r>
    </w:p>
    <w:p w14:paraId="2C2CB395" w14:textId="48DF84ED" w:rsidR="00FB664A" w:rsidRPr="000E6955" w:rsidRDefault="00FB664A" w:rsidP="00FB664A">
      <w:pPr>
        <w:tabs>
          <w:tab w:val="center" w:pos="4536"/>
          <w:tab w:val="right" w:pos="9072"/>
        </w:tabs>
        <w:rPr>
          <w:rFonts w:cs="Arial"/>
          <w:szCs w:val="22"/>
        </w:rPr>
      </w:pPr>
      <w:r w:rsidRPr="000E6955">
        <w:rPr>
          <w:rFonts w:cs="Arial"/>
          <w:szCs w:val="22"/>
        </w:rPr>
        <w:t xml:space="preserve">Dans le cadre de leurs actions de recrutement, les RH </w:t>
      </w:r>
      <w:proofErr w:type="spellStart"/>
      <w:r w:rsidRPr="000E6955">
        <w:rPr>
          <w:rFonts w:cs="Arial"/>
          <w:szCs w:val="22"/>
        </w:rPr>
        <w:t>Partners</w:t>
      </w:r>
      <w:proofErr w:type="spellEnd"/>
      <w:r w:rsidRPr="000E6955">
        <w:rPr>
          <w:rFonts w:cs="Arial"/>
          <w:szCs w:val="22"/>
        </w:rPr>
        <w:t xml:space="preserve"> et les Managers seront sensibilisés sur la nécessité d’assurer un traitement équitable entre</w:t>
      </w:r>
      <w:r w:rsidR="007351E5" w:rsidRPr="000E6955">
        <w:rPr>
          <w:rFonts w:cs="Arial"/>
          <w:szCs w:val="22"/>
        </w:rPr>
        <w:t xml:space="preserve"> </w:t>
      </w:r>
      <w:r w:rsidRPr="000E6955">
        <w:rPr>
          <w:rFonts w:cs="Arial"/>
          <w:szCs w:val="22"/>
        </w:rPr>
        <w:t>femmes et hommes. A ce</w:t>
      </w:r>
      <w:r w:rsidR="007351E5" w:rsidRPr="000E6955">
        <w:rPr>
          <w:rFonts w:cs="Arial"/>
          <w:szCs w:val="22"/>
        </w:rPr>
        <w:t>tte</w:t>
      </w:r>
      <w:r w:rsidRPr="000E6955">
        <w:rPr>
          <w:rFonts w:cs="Arial"/>
          <w:szCs w:val="22"/>
        </w:rPr>
        <w:t xml:space="preserve"> fin, la procédure </w:t>
      </w:r>
      <w:r w:rsidRPr="000E6955">
        <w:rPr>
          <w:rFonts w:cs="Arial"/>
          <w:i/>
          <w:szCs w:val="22"/>
        </w:rPr>
        <w:t>« Gérer les compétences »</w:t>
      </w:r>
      <w:bookmarkStart w:id="47" w:name="_Ref122000566"/>
      <w:r w:rsidR="00255B8D" w:rsidRPr="000E6955">
        <w:rPr>
          <w:rStyle w:val="ae"/>
          <w:rFonts w:cs="Arial"/>
          <w:i/>
          <w:szCs w:val="22"/>
        </w:rPr>
        <w:footnoteReference w:id="5"/>
      </w:r>
      <w:bookmarkEnd w:id="47"/>
      <w:r w:rsidRPr="000E6955">
        <w:rPr>
          <w:rFonts w:cs="Arial"/>
          <w:szCs w:val="22"/>
        </w:rPr>
        <w:t xml:space="preserve"> intègrera ces éléments dans le cadre de la sensibilisation sur la diversité.</w:t>
      </w:r>
    </w:p>
    <w:p w14:paraId="6726F678" w14:textId="09A11660" w:rsidR="00FB664A" w:rsidRPr="000E6955" w:rsidRDefault="00FB664A" w:rsidP="000E6955">
      <w:pPr>
        <w:tabs>
          <w:tab w:val="center" w:pos="4536"/>
          <w:tab w:val="right" w:pos="9072"/>
        </w:tabs>
        <w:spacing w:before="120"/>
        <w:rPr>
          <w:rFonts w:cs="Arial"/>
          <w:szCs w:val="22"/>
        </w:rPr>
      </w:pPr>
      <w:r w:rsidRPr="000E6955">
        <w:rPr>
          <w:rFonts w:cs="Arial"/>
          <w:szCs w:val="22"/>
        </w:rPr>
        <w:t>Une attention particulière sera portée à la proportion de candidatures des femmes et des hommes reçues et au nombre d’embauches réalisées pour chacun d</w:t>
      </w:r>
      <w:r w:rsidR="00186504" w:rsidRPr="000E6955">
        <w:rPr>
          <w:rFonts w:cs="Arial"/>
          <w:szCs w:val="22"/>
        </w:rPr>
        <w:t>es deux genres</w:t>
      </w:r>
      <w:r w:rsidRPr="000E6955">
        <w:rPr>
          <w:rFonts w:cs="Arial"/>
          <w:szCs w:val="22"/>
        </w:rPr>
        <w:t>, compte tenu des critères d’embauche et de l’objectif d’assurer une plus grande mixité.</w:t>
      </w:r>
    </w:p>
    <w:p w14:paraId="599D7815" w14:textId="77777777" w:rsidR="00FB664A" w:rsidRPr="000E6955" w:rsidRDefault="00FB664A" w:rsidP="000E6955">
      <w:pPr>
        <w:spacing w:before="120"/>
        <w:rPr>
          <w:rFonts w:cs="Arial"/>
          <w:szCs w:val="22"/>
        </w:rPr>
      </w:pPr>
      <w:r w:rsidRPr="000E6955">
        <w:rPr>
          <w:rFonts w:cs="Arial"/>
          <w:szCs w:val="22"/>
        </w:rPr>
        <w:t>A compétences égales et pour les métiers subissant un déséquilibre dans les effectifs en place entre les hommes et les femmes, la sélection pourra favoriser exceptionnellement le sexe le moins représenté afin d’assurer la mixité des équipes de Bertin Technologies.</w:t>
      </w:r>
    </w:p>
    <w:p w14:paraId="75123320" w14:textId="3C9A262D" w:rsidR="00FB664A" w:rsidRPr="000E6955" w:rsidRDefault="00FB664A" w:rsidP="000E6955">
      <w:pPr>
        <w:tabs>
          <w:tab w:val="center" w:pos="4536"/>
          <w:tab w:val="right" w:pos="9072"/>
        </w:tabs>
        <w:spacing w:before="120"/>
        <w:rPr>
          <w:rFonts w:cs="Arial"/>
          <w:szCs w:val="22"/>
        </w:rPr>
      </w:pPr>
      <w:r w:rsidRPr="000E6955">
        <w:rPr>
          <w:rFonts w:cs="Arial"/>
          <w:szCs w:val="22"/>
        </w:rPr>
        <w:t>Lors du déroulement d’un entretien de recrutement, aucune information sans lien direct et nécessaire avec le poste proposé ou les aptitudes professionnelles requises ne peut être demandée au candidat.</w:t>
      </w:r>
    </w:p>
    <w:p w14:paraId="7CC79FFC" w14:textId="5170BAF7" w:rsidR="00FB664A" w:rsidRPr="000E6955" w:rsidRDefault="00FB664A" w:rsidP="009E1426">
      <w:pPr>
        <w:tabs>
          <w:tab w:val="center" w:pos="4536"/>
          <w:tab w:val="right" w:pos="9072"/>
        </w:tabs>
        <w:spacing w:before="240"/>
        <w:rPr>
          <w:rFonts w:cs="Arial"/>
          <w:i/>
          <w:szCs w:val="22"/>
          <w:u w:val="single"/>
        </w:rPr>
      </w:pPr>
      <w:r w:rsidRPr="000E6955">
        <w:rPr>
          <w:rFonts w:cs="Arial"/>
          <w:b/>
          <w:szCs w:val="22"/>
        </w:rPr>
        <w:t>Actions :</w:t>
      </w:r>
      <w:r w:rsidRPr="000E6955">
        <w:rPr>
          <w:rFonts w:cs="Arial"/>
          <w:b/>
          <w:i/>
          <w:szCs w:val="22"/>
        </w:rPr>
        <w:t xml:space="preserve"> </w:t>
      </w:r>
      <w:r w:rsidRPr="000E6955">
        <w:rPr>
          <w:rFonts w:cs="Arial"/>
          <w:szCs w:val="22"/>
        </w:rPr>
        <w:t>Le management sera particulièrement sensibilisé à cette démarche avec un objectif de maintien d’une population significativement représentative. Une présentation chiffrée de cet équilibre des recrutements sera présentée à la Commission Egalité Professionnelle annuellement.</w:t>
      </w:r>
    </w:p>
    <w:p w14:paraId="7CF0C4D8" w14:textId="77777777" w:rsidR="00FB664A" w:rsidRPr="000E6955" w:rsidRDefault="00FB664A" w:rsidP="009E1426">
      <w:pPr>
        <w:tabs>
          <w:tab w:val="center" w:pos="4536"/>
          <w:tab w:val="right" w:pos="9072"/>
        </w:tabs>
        <w:spacing w:before="240"/>
        <w:rPr>
          <w:rFonts w:cs="Arial"/>
          <w:b/>
          <w:szCs w:val="22"/>
        </w:rPr>
      </w:pPr>
      <w:r w:rsidRPr="000E6955">
        <w:rPr>
          <w:rFonts w:cs="Arial"/>
          <w:b/>
          <w:szCs w:val="22"/>
        </w:rPr>
        <w:lastRenderedPageBreak/>
        <w:t>Indicateurs de suivi :</w:t>
      </w:r>
    </w:p>
    <w:p w14:paraId="3BBC9631" w14:textId="1B1151BE" w:rsidR="00FB664A" w:rsidRPr="000E6955" w:rsidRDefault="00FB664A" w:rsidP="00FB664A">
      <w:pPr>
        <w:numPr>
          <w:ilvl w:val="0"/>
          <w:numId w:val="2"/>
        </w:numPr>
        <w:rPr>
          <w:rFonts w:eastAsia="Calibri" w:cs="Arial"/>
          <w:szCs w:val="22"/>
          <w:lang w:eastAsia="en-US"/>
        </w:rPr>
      </w:pPr>
      <w:r w:rsidRPr="000E6955">
        <w:rPr>
          <w:rFonts w:eastAsia="Calibri" w:cs="Arial"/>
          <w:szCs w:val="22"/>
          <w:lang w:eastAsia="en-US"/>
        </w:rPr>
        <w:t>Nombre de candidatures femmes/hommes reçues suite à la parution d’annonces des postes à pourvoir</w:t>
      </w:r>
      <w:r w:rsidR="009E1426">
        <w:rPr>
          <w:rFonts w:eastAsia="Calibri" w:cs="Arial"/>
          <w:szCs w:val="22"/>
          <w:lang w:eastAsia="en-US"/>
        </w:rPr>
        <w:t> ;</w:t>
      </w:r>
    </w:p>
    <w:p w14:paraId="4CDABC3A" w14:textId="58A49252" w:rsidR="00FB664A" w:rsidRPr="000E6955" w:rsidRDefault="00FB664A" w:rsidP="00FB664A">
      <w:pPr>
        <w:numPr>
          <w:ilvl w:val="0"/>
          <w:numId w:val="2"/>
        </w:numPr>
        <w:rPr>
          <w:rFonts w:eastAsia="Calibri" w:cs="Arial"/>
          <w:szCs w:val="22"/>
          <w:lang w:eastAsia="en-US"/>
        </w:rPr>
      </w:pPr>
      <w:r w:rsidRPr="000E6955">
        <w:rPr>
          <w:rFonts w:eastAsia="Calibri" w:cs="Arial"/>
          <w:szCs w:val="22"/>
          <w:lang w:eastAsia="en-US"/>
        </w:rPr>
        <w:t>Nombre d’entretiens menés femmes/hommes</w:t>
      </w:r>
      <w:r w:rsidR="009E1426">
        <w:rPr>
          <w:rFonts w:eastAsia="Calibri" w:cs="Arial"/>
          <w:szCs w:val="22"/>
          <w:lang w:eastAsia="en-US"/>
        </w:rPr>
        <w:t> ;</w:t>
      </w:r>
    </w:p>
    <w:p w14:paraId="7E73E285" w14:textId="77777777" w:rsidR="00FB664A" w:rsidRPr="000E6955" w:rsidRDefault="00FB664A" w:rsidP="00FB664A">
      <w:pPr>
        <w:numPr>
          <w:ilvl w:val="0"/>
          <w:numId w:val="2"/>
        </w:numPr>
        <w:rPr>
          <w:rFonts w:eastAsia="Calibri" w:cs="Arial"/>
          <w:szCs w:val="22"/>
          <w:lang w:eastAsia="en-US"/>
        </w:rPr>
      </w:pPr>
      <w:r w:rsidRPr="000E6955">
        <w:rPr>
          <w:rFonts w:eastAsia="Calibri" w:cs="Arial"/>
          <w:szCs w:val="22"/>
          <w:lang w:eastAsia="en-US"/>
        </w:rPr>
        <w:t>Nombre d’embauches réalisées femmes/hommes.</w:t>
      </w:r>
    </w:p>
    <w:p w14:paraId="3EC60645" w14:textId="77777777" w:rsidR="00FB664A" w:rsidRPr="000E6955" w:rsidRDefault="00FB664A" w:rsidP="00FB664A">
      <w:pPr>
        <w:tabs>
          <w:tab w:val="center" w:pos="4536"/>
          <w:tab w:val="right" w:pos="9072"/>
        </w:tabs>
        <w:rPr>
          <w:rFonts w:ascii="Helvetica" w:hAnsi="Helvetica" w:cs="Arial"/>
          <w:b/>
          <w:szCs w:val="22"/>
          <w:u w:val="single"/>
        </w:rPr>
      </w:pPr>
    </w:p>
    <w:p w14:paraId="4DEB6BF1" w14:textId="2A143589" w:rsidR="00FB664A" w:rsidRPr="000E6955" w:rsidRDefault="00FF3AD0" w:rsidP="009012D0">
      <w:pPr>
        <w:pStyle w:val="3"/>
      </w:pPr>
      <w:r w:rsidRPr="000E6955">
        <w:t xml:space="preserve">Les actions auprès des </w:t>
      </w:r>
      <w:r w:rsidR="002A043C" w:rsidRPr="000E6955">
        <w:t>E</w:t>
      </w:r>
      <w:r w:rsidRPr="000E6955">
        <w:t>coles</w:t>
      </w:r>
      <w:r w:rsidR="002A043C" w:rsidRPr="000E6955">
        <w:t xml:space="preserve"> /U</w:t>
      </w:r>
      <w:r w:rsidRPr="000E6955">
        <w:t>niversités</w:t>
      </w:r>
      <w:r w:rsidR="002A043C" w:rsidRPr="000E6955">
        <w:t xml:space="preserve"> et Forums</w:t>
      </w:r>
    </w:p>
    <w:p w14:paraId="1DA7E95C" w14:textId="77777777" w:rsidR="000005F3" w:rsidRPr="000E6955" w:rsidRDefault="000005F3" w:rsidP="009012D0">
      <w:pPr>
        <w:pStyle w:val="CorpsTexteI10BT"/>
        <w:rPr>
          <w:b/>
          <w:bCs/>
          <w:caps/>
        </w:rPr>
      </w:pPr>
      <w:r w:rsidRPr="000E6955">
        <w:t>Bertin Technologies développera des actions d’information des jeunes, notamment au cours des relations qui sont entretenues avec des filières d’enseignement supérieur, techniques (écoles d’ingénieurs et de commerce, universités, Instituts Universitaires Technologiques, …) et lors des forums afin d’attirer les futurs talents en rappelant que nos métiers sont ouverts à tous.</w:t>
      </w:r>
    </w:p>
    <w:p w14:paraId="4DB03D2C" w14:textId="121F64B9" w:rsidR="000005F3" w:rsidRPr="000E6955" w:rsidRDefault="000005F3" w:rsidP="009E1426">
      <w:pPr>
        <w:pStyle w:val="CorpsTexteI10BT"/>
        <w:spacing w:before="120"/>
        <w:rPr>
          <w:b/>
          <w:bCs/>
          <w:caps/>
        </w:rPr>
      </w:pPr>
      <w:r w:rsidRPr="000E6955">
        <w:t>Dans la mesure du possible, Bertin Technologies veillera à promouvoir la présence de collaboratrices lors des présentations dans les établissements d’enseignement supérieur / Instituts Universitaires Technologiques et plus généralement dans le cadre des « relations écoles ».</w:t>
      </w:r>
    </w:p>
    <w:p w14:paraId="7D279726" w14:textId="1CD45699" w:rsidR="000005F3" w:rsidRPr="000E6955" w:rsidRDefault="000005F3" w:rsidP="009E1426">
      <w:pPr>
        <w:pStyle w:val="CorpsTexteI10BT"/>
        <w:spacing w:before="120"/>
      </w:pPr>
      <w:r w:rsidRPr="000E6955">
        <w:t>Lors de la dispense de cours dans les établissements de l’enseignement supérieur et/ou Instituts Universitaires Technologiques ou Forums, les femmes seront encouragées à les dispenser au même titre et aux mêmes conditions que leurs collègues masculins.</w:t>
      </w:r>
    </w:p>
    <w:p w14:paraId="5E2D9EF9" w14:textId="1A3BA453" w:rsidR="000005F3" w:rsidRPr="000E6955" w:rsidRDefault="000005F3" w:rsidP="009E1426">
      <w:pPr>
        <w:pStyle w:val="a"/>
        <w:spacing w:before="240"/>
      </w:pPr>
      <w:r w:rsidRPr="000E6955">
        <w:rPr>
          <w:b/>
        </w:rPr>
        <w:t>Actions</w:t>
      </w:r>
      <w:r w:rsidRPr="000E6955">
        <w:t> : participation active auprès des écoles/université et forums.</w:t>
      </w:r>
    </w:p>
    <w:p w14:paraId="7254AAA3" w14:textId="5CAF984A" w:rsidR="000005F3" w:rsidRPr="000E6955" w:rsidRDefault="000005F3" w:rsidP="009E1426">
      <w:pPr>
        <w:pStyle w:val="a"/>
        <w:spacing w:before="240"/>
      </w:pPr>
      <w:r w:rsidRPr="000E6955">
        <w:rPr>
          <w:b/>
        </w:rPr>
        <w:t>Indicateur de suivi</w:t>
      </w:r>
      <w:r w:rsidRPr="000E6955">
        <w:t> : nombre de réunions de présentation / de forums auxquels Bertin Technologies participe.</w:t>
      </w:r>
    </w:p>
    <w:p w14:paraId="158713A7" w14:textId="7A09B2AC" w:rsidR="00FF3AD0" w:rsidRPr="000E6955" w:rsidRDefault="00FF3AD0" w:rsidP="00FF3AD0">
      <w:pPr>
        <w:pStyle w:val="CorpsTexteI10BT"/>
      </w:pPr>
    </w:p>
    <w:p w14:paraId="61187BD9" w14:textId="6CCDF816" w:rsidR="00FF3AD0" w:rsidRPr="000E6955" w:rsidRDefault="00F2551D" w:rsidP="00F2551D">
      <w:pPr>
        <w:pStyle w:val="2"/>
        <w:rPr>
          <w:rFonts w:eastAsia="Calibri"/>
        </w:rPr>
      </w:pPr>
      <w:bookmarkStart w:id="48" w:name="_Toc122001646"/>
      <w:r w:rsidRPr="000E6955">
        <w:rPr>
          <w:rFonts w:eastAsia="Calibri"/>
        </w:rPr>
        <w:t>L’aménagement des postes de travail</w:t>
      </w:r>
      <w:bookmarkEnd w:id="48"/>
    </w:p>
    <w:p w14:paraId="067E31F9" w14:textId="77777777" w:rsidR="00CD5504" w:rsidRPr="000E6955" w:rsidRDefault="00CD5504" w:rsidP="009012D0">
      <w:pPr>
        <w:pStyle w:val="CorpsTexteI10BT"/>
      </w:pPr>
      <w:r w:rsidRPr="000E6955">
        <w:t xml:space="preserve">Dans le cadre des conditions de travail, une attention sera portée sur l’adaptation des postes de travail et plus particulièrement sur le site de Thiron-Gardais. </w:t>
      </w:r>
    </w:p>
    <w:p w14:paraId="324FD907" w14:textId="77777777" w:rsidR="00CD5504" w:rsidRPr="000E6955" w:rsidRDefault="00CD5504" w:rsidP="009012D0">
      <w:pPr>
        <w:pStyle w:val="CorpsTexteI10BT"/>
      </w:pPr>
      <w:r w:rsidRPr="000E6955">
        <w:t>Une attention particulière sera menée pour les postes occupés par des femmes.</w:t>
      </w:r>
    </w:p>
    <w:p w14:paraId="56C5B7B7" w14:textId="77777777" w:rsidR="00CD5504" w:rsidRPr="000E6955" w:rsidRDefault="00CD5504" w:rsidP="009E1426">
      <w:pPr>
        <w:pStyle w:val="a"/>
        <w:spacing w:before="240"/>
        <w:rPr>
          <w:i/>
        </w:rPr>
      </w:pPr>
      <w:r w:rsidRPr="000E6955">
        <w:rPr>
          <w:b/>
        </w:rPr>
        <w:t>Objectif :</w:t>
      </w:r>
      <w:r w:rsidRPr="000E6955">
        <w:t xml:space="preserve"> en matière d’aménagement des postes de travail, Bertin Technologies se fixe l’objectif de progression suivant : faciliter l’accès à tous les postes de travail aux salariés des deux sexes.</w:t>
      </w:r>
    </w:p>
    <w:p w14:paraId="19C8E6AC" w14:textId="77777777" w:rsidR="00CD5504" w:rsidRPr="000E6955" w:rsidRDefault="00CD5504" w:rsidP="009E1426">
      <w:pPr>
        <w:pStyle w:val="a"/>
        <w:spacing w:before="240"/>
      </w:pPr>
      <w:r w:rsidRPr="000E6955">
        <w:rPr>
          <w:b/>
        </w:rPr>
        <w:t>Indicateur de suivi</w:t>
      </w:r>
      <w:r w:rsidRPr="000E6955">
        <w:t> : nombre de postes aménagés.</w:t>
      </w:r>
    </w:p>
    <w:p w14:paraId="625E41DC" w14:textId="5D95A643" w:rsidR="005756BE" w:rsidRPr="000E6955" w:rsidRDefault="005756BE" w:rsidP="005756BE">
      <w:pPr>
        <w:pStyle w:val="CorpsTexteI10BT"/>
        <w:rPr>
          <w:highlight w:val="yellow"/>
        </w:rPr>
      </w:pPr>
    </w:p>
    <w:p w14:paraId="51182DFB" w14:textId="296DD8FC" w:rsidR="000E17C5" w:rsidRPr="000E6955" w:rsidRDefault="00BA31B3" w:rsidP="00717443">
      <w:pPr>
        <w:pStyle w:val="2"/>
      </w:pPr>
      <w:bookmarkStart w:id="49" w:name="_Toc122001647"/>
      <w:r w:rsidRPr="000E6955">
        <w:t>La rémunération</w:t>
      </w:r>
      <w:bookmarkEnd w:id="49"/>
    </w:p>
    <w:p w14:paraId="3E9BA93A" w14:textId="3950F459" w:rsidR="00D2499C" w:rsidRPr="000E6955" w:rsidRDefault="00D2499C" w:rsidP="0068112B">
      <w:pPr>
        <w:pStyle w:val="3"/>
      </w:pPr>
      <w:r w:rsidRPr="000E6955">
        <w:t>L’index annuel Egalité Professionnelle F/H</w:t>
      </w:r>
    </w:p>
    <w:p w14:paraId="4EE8F5E9" w14:textId="77777777" w:rsidR="00D2499C" w:rsidRPr="000E6955" w:rsidRDefault="00D2499C" w:rsidP="00D2499C">
      <w:pPr>
        <w:pStyle w:val="CorpsTexteI10BT"/>
      </w:pPr>
      <w:r w:rsidRPr="000E6955">
        <w:t>Créé par la loi du 5 septembre 2018</w:t>
      </w:r>
      <w:r w:rsidRPr="000E6955">
        <w:rPr>
          <w:rStyle w:val="ae"/>
        </w:rPr>
        <w:footnoteReference w:id="6"/>
      </w:r>
      <w:r w:rsidRPr="000E6955">
        <w:t xml:space="preserve"> pour la liberté de choisir son avenir professionnel, l’Index de l’égalité professionnelle permet aux entreprises de mesurer les écarts de rémunération entre les femmes et les hommes et met en évidence les points de progression sur lesquels agir quand ces disparités sont injustifiées.</w:t>
      </w:r>
    </w:p>
    <w:p w14:paraId="520CD8AE" w14:textId="77777777" w:rsidR="00D2499C" w:rsidRPr="000E6955" w:rsidRDefault="00D2499C" w:rsidP="009E1426">
      <w:pPr>
        <w:pStyle w:val="CorpsTexteI10BT"/>
        <w:spacing w:before="120"/>
      </w:pPr>
      <w:r w:rsidRPr="000E6955">
        <w:t>Depuis 2019, Bertin Technologies calcule et publie son index de l’égalité professionnelle entre les femmes et les hommes.</w:t>
      </w:r>
    </w:p>
    <w:p w14:paraId="501F27AF" w14:textId="77777777" w:rsidR="00D2499C" w:rsidRPr="000E6955" w:rsidRDefault="00D2499C" w:rsidP="009E1426">
      <w:pPr>
        <w:pStyle w:val="CorpsTexteI10BT"/>
        <w:spacing w:before="120"/>
      </w:pPr>
      <w:r w:rsidRPr="000E6955">
        <w:t>Les Représentants du Personnel au CSE en sont informés et consultés chaque début d’année.</w:t>
      </w:r>
    </w:p>
    <w:p w14:paraId="5642557D" w14:textId="77777777" w:rsidR="00D2499C" w:rsidRPr="000E6955" w:rsidRDefault="00D2499C" w:rsidP="00D2499C">
      <w:pPr>
        <w:pStyle w:val="CorpsTexteI10BT"/>
      </w:pPr>
    </w:p>
    <w:p w14:paraId="49D69259" w14:textId="77777777" w:rsidR="00D2499C" w:rsidRPr="000E6955" w:rsidRDefault="00D2499C" w:rsidP="009E1426">
      <w:pPr>
        <w:pStyle w:val="CorpsTexteI10BT"/>
        <w:spacing w:after="240"/>
      </w:pPr>
      <w:r w:rsidRPr="000E6955">
        <w:lastRenderedPageBreak/>
        <w:t>Les résultats de cet index – basés sur 5 indicateurs - sont les suivants :</w:t>
      </w:r>
    </w:p>
    <w:tbl>
      <w:tblPr>
        <w:tblStyle w:val="a5"/>
        <w:tblW w:w="0" w:type="auto"/>
        <w:tblLook w:val="04A0" w:firstRow="1" w:lastRow="0" w:firstColumn="1" w:lastColumn="0" w:noHBand="0" w:noVBand="1"/>
      </w:tblPr>
      <w:tblGrid>
        <w:gridCol w:w="5755"/>
        <w:gridCol w:w="791"/>
        <w:gridCol w:w="791"/>
        <w:gridCol w:w="791"/>
        <w:gridCol w:w="791"/>
      </w:tblGrid>
      <w:tr w:rsidR="009012D0" w:rsidRPr="000E6955" w14:paraId="5E05C0DC" w14:textId="77777777" w:rsidTr="009E1426">
        <w:trPr>
          <w:cnfStyle w:val="100000000000" w:firstRow="1" w:lastRow="0" w:firstColumn="0" w:lastColumn="0" w:oddVBand="0" w:evenVBand="0" w:oddHBand="0" w:evenHBand="0" w:firstRowFirstColumn="0" w:firstRowLastColumn="0" w:lastRowFirstColumn="0" w:lastRowLastColumn="0"/>
        </w:trPr>
        <w:tc>
          <w:tcPr>
            <w:tcW w:w="5755" w:type="dxa"/>
            <w:tcBorders>
              <w:right w:val="single" w:sz="4" w:space="0" w:color="FFFFFF" w:themeColor="background1"/>
            </w:tcBorders>
            <w:shd w:val="clear" w:color="auto" w:fill="0F1DE8"/>
          </w:tcPr>
          <w:p w14:paraId="1F4906E4" w14:textId="77777777" w:rsidR="00D2499C" w:rsidRPr="000E6955" w:rsidRDefault="00D2499C" w:rsidP="009012D0">
            <w:pPr>
              <w:pStyle w:val="Texte"/>
              <w:spacing w:before="60" w:after="60"/>
              <w:jc w:val="center"/>
              <w:rPr>
                <w:b/>
                <w:color w:val="FFFFFF" w:themeColor="background1"/>
              </w:rPr>
            </w:pPr>
            <w:r w:rsidRPr="000E6955">
              <w:rPr>
                <w:b/>
                <w:color w:val="FFFFFF" w:themeColor="background1"/>
              </w:rPr>
              <w:t>INDICATEURS</w:t>
            </w:r>
          </w:p>
        </w:tc>
        <w:tc>
          <w:tcPr>
            <w:tcW w:w="791" w:type="dxa"/>
            <w:tcBorders>
              <w:left w:val="single" w:sz="4" w:space="0" w:color="FFFFFF" w:themeColor="background1"/>
              <w:right w:val="single" w:sz="4" w:space="0" w:color="FFFFFF" w:themeColor="background1"/>
            </w:tcBorders>
            <w:shd w:val="clear" w:color="auto" w:fill="0F1DE8"/>
          </w:tcPr>
          <w:p w14:paraId="4F9A1452" w14:textId="77777777" w:rsidR="00D2499C" w:rsidRPr="000E6955" w:rsidRDefault="00D2499C" w:rsidP="009012D0">
            <w:pPr>
              <w:pStyle w:val="Texte"/>
              <w:spacing w:before="60" w:after="60"/>
              <w:jc w:val="center"/>
              <w:rPr>
                <w:b/>
                <w:color w:val="FFFFFF" w:themeColor="background1"/>
              </w:rPr>
            </w:pPr>
            <w:r w:rsidRPr="000E6955">
              <w:rPr>
                <w:b/>
                <w:color w:val="FFFFFF" w:themeColor="background1"/>
              </w:rPr>
              <w:t>2018</w:t>
            </w:r>
          </w:p>
        </w:tc>
        <w:tc>
          <w:tcPr>
            <w:tcW w:w="791" w:type="dxa"/>
            <w:tcBorders>
              <w:left w:val="single" w:sz="4" w:space="0" w:color="FFFFFF" w:themeColor="background1"/>
              <w:right w:val="single" w:sz="4" w:space="0" w:color="FFFFFF" w:themeColor="background1"/>
            </w:tcBorders>
            <w:shd w:val="clear" w:color="auto" w:fill="0F1DE8"/>
          </w:tcPr>
          <w:p w14:paraId="650A702B" w14:textId="77777777" w:rsidR="00D2499C" w:rsidRPr="000E6955" w:rsidRDefault="00D2499C" w:rsidP="009012D0">
            <w:pPr>
              <w:pStyle w:val="Texte"/>
              <w:spacing w:before="60" w:after="60"/>
              <w:jc w:val="center"/>
              <w:rPr>
                <w:b/>
                <w:color w:val="FFFFFF" w:themeColor="background1"/>
              </w:rPr>
            </w:pPr>
            <w:r w:rsidRPr="000E6955">
              <w:rPr>
                <w:b/>
                <w:color w:val="FFFFFF" w:themeColor="background1"/>
              </w:rPr>
              <w:t>2019</w:t>
            </w:r>
          </w:p>
        </w:tc>
        <w:tc>
          <w:tcPr>
            <w:tcW w:w="791" w:type="dxa"/>
            <w:tcBorders>
              <w:left w:val="single" w:sz="4" w:space="0" w:color="FFFFFF" w:themeColor="background1"/>
              <w:right w:val="single" w:sz="4" w:space="0" w:color="FFFFFF" w:themeColor="background1"/>
            </w:tcBorders>
            <w:shd w:val="clear" w:color="auto" w:fill="0F1DE8"/>
          </w:tcPr>
          <w:p w14:paraId="5C7E0E6A" w14:textId="77777777" w:rsidR="00D2499C" w:rsidRPr="000E6955" w:rsidRDefault="00D2499C" w:rsidP="009012D0">
            <w:pPr>
              <w:pStyle w:val="Texte"/>
              <w:spacing w:before="60" w:after="60"/>
              <w:jc w:val="center"/>
              <w:rPr>
                <w:b/>
                <w:color w:val="FFFFFF" w:themeColor="background1"/>
              </w:rPr>
            </w:pPr>
            <w:r w:rsidRPr="000E6955">
              <w:rPr>
                <w:b/>
                <w:color w:val="FFFFFF" w:themeColor="background1"/>
              </w:rPr>
              <w:t>2020</w:t>
            </w:r>
          </w:p>
        </w:tc>
        <w:tc>
          <w:tcPr>
            <w:tcW w:w="791" w:type="dxa"/>
            <w:tcBorders>
              <w:left w:val="single" w:sz="4" w:space="0" w:color="FFFFFF" w:themeColor="background1"/>
            </w:tcBorders>
            <w:shd w:val="clear" w:color="auto" w:fill="0F1DE8"/>
          </w:tcPr>
          <w:p w14:paraId="6AFBEED1" w14:textId="77777777" w:rsidR="00D2499C" w:rsidRPr="000E6955" w:rsidRDefault="00D2499C" w:rsidP="009012D0">
            <w:pPr>
              <w:pStyle w:val="Texte"/>
              <w:spacing w:before="60" w:after="60"/>
              <w:jc w:val="center"/>
              <w:rPr>
                <w:b/>
                <w:color w:val="FFFFFF" w:themeColor="background1"/>
              </w:rPr>
            </w:pPr>
            <w:r w:rsidRPr="000E6955">
              <w:rPr>
                <w:b/>
                <w:color w:val="FFFFFF" w:themeColor="background1"/>
              </w:rPr>
              <w:t>2021</w:t>
            </w:r>
          </w:p>
        </w:tc>
      </w:tr>
      <w:tr w:rsidR="00D2499C" w:rsidRPr="000E6955" w14:paraId="40131A4D" w14:textId="77777777" w:rsidTr="009E1426">
        <w:tc>
          <w:tcPr>
            <w:tcW w:w="5755" w:type="dxa"/>
          </w:tcPr>
          <w:p w14:paraId="1DC4985B" w14:textId="77777777" w:rsidR="00D2499C" w:rsidRPr="000E6955" w:rsidRDefault="00D2499C" w:rsidP="00BE61CD">
            <w:pPr>
              <w:pStyle w:val="Texte"/>
              <w:jc w:val="center"/>
              <w:rPr>
                <w:b/>
              </w:rPr>
            </w:pPr>
            <w:r w:rsidRPr="000E6955">
              <w:rPr>
                <w:b/>
              </w:rPr>
              <w:t>Ecart de rémunération Femmes-Hommes</w:t>
            </w:r>
            <w:r w:rsidRPr="000E6955">
              <w:rPr>
                <w:b/>
              </w:rPr>
              <w:br/>
            </w:r>
            <w:r w:rsidRPr="000E6955">
              <w:rPr>
                <w:i/>
              </w:rPr>
              <w:t>Maximum 40 points</w:t>
            </w:r>
          </w:p>
        </w:tc>
        <w:tc>
          <w:tcPr>
            <w:tcW w:w="791" w:type="dxa"/>
          </w:tcPr>
          <w:p w14:paraId="1A15AC22" w14:textId="77777777" w:rsidR="00D2499C" w:rsidRPr="000E6955" w:rsidRDefault="00D2499C" w:rsidP="00BE61CD">
            <w:pPr>
              <w:pStyle w:val="Texte"/>
              <w:jc w:val="center"/>
            </w:pPr>
            <w:r w:rsidRPr="000E6955">
              <w:t>39</w:t>
            </w:r>
          </w:p>
        </w:tc>
        <w:tc>
          <w:tcPr>
            <w:tcW w:w="791" w:type="dxa"/>
          </w:tcPr>
          <w:p w14:paraId="4C795C5B" w14:textId="77777777" w:rsidR="00D2499C" w:rsidRPr="000E6955" w:rsidRDefault="00D2499C" w:rsidP="00BE61CD">
            <w:pPr>
              <w:pStyle w:val="Texte"/>
              <w:jc w:val="center"/>
            </w:pPr>
            <w:r w:rsidRPr="000E6955">
              <w:t>38</w:t>
            </w:r>
          </w:p>
        </w:tc>
        <w:tc>
          <w:tcPr>
            <w:tcW w:w="791" w:type="dxa"/>
          </w:tcPr>
          <w:p w14:paraId="66D8FE40" w14:textId="77777777" w:rsidR="00D2499C" w:rsidRPr="000E6955" w:rsidRDefault="00D2499C" w:rsidP="00BE61CD">
            <w:pPr>
              <w:pStyle w:val="Texte"/>
              <w:jc w:val="center"/>
            </w:pPr>
            <w:r w:rsidRPr="000E6955">
              <w:t>35</w:t>
            </w:r>
          </w:p>
        </w:tc>
        <w:tc>
          <w:tcPr>
            <w:tcW w:w="791" w:type="dxa"/>
          </w:tcPr>
          <w:p w14:paraId="2D9ECC5F" w14:textId="77777777" w:rsidR="00D2499C" w:rsidRPr="000E6955" w:rsidRDefault="00D2499C" w:rsidP="00BE61CD">
            <w:pPr>
              <w:pStyle w:val="Texte"/>
              <w:jc w:val="center"/>
            </w:pPr>
            <w:r w:rsidRPr="000E6955">
              <w:t>36</w:t>
            </w:r>
          </w:p>
        </w:tc>
      </w:tr>
      <w:tr w:rsidR="00D2499C" w:rsidRPr="000E6955" w14:paraId="12592175" w14:textId="77777777" w:rsidTr="009E1426">
        <w:tc>
          <w:tcPr>
            <w:tcW w:w="5755" w:type="dxa"/>
          </w:tcPr>
          <w:p w14:paraId="37E4C1E2" w14:textId="77777777" w:rsidR="00D2499C" w:rsidRPr="000E6955" w:rsidRDefault="00D2499C" w:rsidP="00BE61CD">
            <w:pPr>
              <w:pStyle w:val="Texte"/>
              <w:jc w:val="center"/>
              <w:rPr>
                <w:b/>
              </w:rPr>
            </w:pPr>
            <w:r w:rsidRPr="000E6955">
              <w:rPr>
                <w:b/>
              </w:rPr>
              <w:t>Ecart de répartition des augmentations individuelles</w:t>
            </w:r>
            <w:r w:rsidRPr="000E6955">
              <w:rPr>
                <w:b/>
              </w:rPr>
              <w:br/>
            </w:r>
            <w:r w:rsidRPr="000E6955">
              <w:rPr>
                <w:i/>
              </w:rPr>
              <w:t>Maximum 20 points</w:t>
            </w:r>
          </w:p>
        </w:tc>
        <w:tc>
          <w:tcPr>
            <w:tcW w:w="791" w:type="dxa"/>
          </w:tcPr>
          <w:p w14:paraId="5DEEC0A2" w14:textId="77777777" w:rsidR="00D2499C" w:rsidRPr="000E6955" w:rsidRDefault="00D2499C" w:rsidP="00BE61CD">
            <w:pPr>
              <w:pStyle w:val="Texte"/>
              <w:jc w:val="center"/>
            </w:pPr>
            <w:r w:rsidRPr="000E6955">
              <w:t>20</w:t>
            </w:r>
          </w:p>
        </w:tc>
        <w:tc>
          <w:tcPr>
            <w:tcW w:w="791" w:type="dxa"/>
          </w:tcPr>
          <w:p w14:paraId="2B60F646" w14:textId="77777777" w:rsidR="00D2499C" w:rsidRPr="000E6955" w:rsidRDefault="00D2499C" w:rsidP="00BE61CD">
            <w:pPr>
              <w:pStyle w:val="Texte"/>
              <w:jc w:val="center"/>
            </w:pPr>
            <w:r w:rsidRPr="000E6955">
              <w:t>20</w:t>
            </w:r>
          </w:p>
        </w:tc>
        <w:tc>
          <w:tcPr>
            <w:tcW w:w="791" w:type="dxa"/>
          </w:tcPr>
          <w:p w14:paraId="41D492BA" w14:textId="77777777" w:rsidR="00D2499C" w:rsidRPr="000E6955" w:rsidRDefault="00D2499C" w:rsidP="00BE61CD">
            <w:pPr>
              <w:pStyle w:val="Texte"/>
              <w:jc w:val="center"/>
            </w:pPr>
            <w:r w:rsidRPr="000E6955">
              <w:t>20</w:t>
            </w:r>
          </w:p>
        </w:tc>
        <w:tc>
          <w:tcPr>
            <w:tcW w:w="791" w:type="dxa"/>
          </w:tcPr>
          <w:p w14:paraId="130DC55C" w14:textId="77777777" w:rsidR="00D2499C" w:rsidRPr="000E6955" w:rsidRDefault="00D2499C" w:rsidP="00BE61CD">
            <w:pPr>
              <w:pStyle w:val="Texte"/>
              <w:jc w:val="center"/>
            </w:pPr>
            <w:r w:rsidRPr="000E6955">
              <w:t>10</w:t>
            </w:r>
          </w:p>
        </w:tc>
      </w:tr>
      <w:tr w:rsidR="00D2499C" w:rsidRPr="000E6955" w14:paraId="0345971B" w14:textId="77777777" w:rsidTr="009E1426">
        <w:tc>
          <w:tcPr>
            <w:tcW w:w="5755" w:type="dxa"/>
          </w:tcPr>
          <w:p w14:paraId="0065407A" w14:textId="77777777" w:rsidR="00D2499C" w:rsidRPr="000E6955" w:rsidRDefault="00D2499C" w:rsidP="00BE61CD">
            <w:pPr>
              <w:pStyle w:val="Texte"/>
              <w:jc w:val="center"/>
              <w:rPr>
                <w:b/>
              </w:rPr>
            </w:pPr>
            <w:r w:rsidRPr="000E6955">
              <w:rPr>
                <w:b/>
              </w:rPr>
              <w:t>Ecart de répartition des promotions</w:t>
            </w:r>
            <w:r w:rsidRPr="000E6955">
              <w:rPr>
                <w:b/>
              </w:rPr>
              <w:br/>
            </w:r>
            <w:r w:rsidRPr="000E6955">
              <w:rPr>
                <w:i/>
              </w:rPr>
              <w:t>Maximum 15 points</w:t>
            </w:r>
          </w:p>
        </w:tc>
        <w:tc>
          <w:tcPr>
            <w:tcW w:w="791" w:type="dxa"/>
          </w:tcPr>
          <w:p w14:paraId="476739EC" w14:textId="77777777" w:rsidR="00D2499C" w:rsidRPr="000E6955" w:rsidRDefault="00D2499C" w:rsidP="00BE61CD">
            <w:pPr>
              <w:pStyle w:val="Texte"/>
              <w:jc w:val="center"/>
            </w:pPr>
            <w:r w:rsidRPr="000E6955">
              <w:t>15</w:t>
            </w:r>
          </w:p>
        </w:tc>
        <w:tc>
          <w:tcPr>
            <w:tcW w:w="791" w:type="dxa"/>
          </w:tcPr>
          <w:p w14:paraId="5E25F604" w14:textId="77777777" w:rsidR="00D2499C" w:rsidRPr="000E6955" w:rsidRDefault="00D2499C" w:rsidP="00BE61CD">
            <w:pPr>
              <w:pStyle w:val="Texte"/>
              <w:jc w:val="center"/>
            </w:pPr>
            <w:r w:rsidRPr="000E6955">
              <w:t>15</w:t>
            </w:r>
          </w:p>
        </w:tc>
        <w:tc>
          <w:tcPr>
            <w:tcW w:w="791" w:type="dxa"/>
          </w:tcPr>
          <w:p w14:paraId="715BD32A" w14:textId="77777777" w:rsidR="00D2499C" w:rsidRPr="000E6955" w:rsidRDefault="00D2499C" w:rsidP="00BE61CD">
            <w:pPr>
              <w:pStyle w:val="Texte"/>
              <w:jc w:val="center"/>
            </w:pPr>
            <w:r w:rsidRPr="000E6955">
              <w:t>15</w:t>
            </w:r>
          </w:p>
        </w:tc>
        <w:tc>
          <w:tcPr>
            <w:tcW w:w="791" w:type="dxa"/>
          </w:tcPr>
          <w:p w14:paraId="6AC0D8AF" w14:textId="77777777" w:rsidR="00D2499C" w:rsidRPr="000E6955" w:rsidRDefault="00D2499C" w:rsidP="00BE61CD">
            <w:pPr>
              <w:pStyle w:val="Texte"/>
              <w:jc w:val="center"/>
            </w:pPr>
            <w:r w:rsidRPr="000E6955">
              <w:t>15</w:t>
            </w:r>
          </w:p>
        </w:tc>
      </w:tr>
      <w:tr w:rsidR="00D2499C" w:rsidRPr="000E6955" w14:paraId="5A1F0BF1" w14:textId="77777777" w:rsidTr="009E1426">
        <w:tc>
          <w:tcPr>
            <w:tcW w:w="5755" w:type="dxa"/>
          </w:tcPr>
          <w:p w14:paraId="1FC29F02" w14:textId="77777777" w:rsidR="00D2499C" w:rsidRPr="000E6955" w:rsidRDefault="00D2499C" w:rsidP="00BE61CD">
            <w:pPr>
              <w:pStyle w:val="Texte"/>
              <w:jc w:val="center"/>
              <w:rPr>
                <w:b/>
              </w:rPr>
            </w:pPr>
            <w:r w:rsidRPr="000E6955">
              <w:rPr>
                <w:b/>
              </w:rPr>
              <w:t>Nombre de salariées augmentées à leur retour de congé de maternité</w:t>
            </w:r>
            <w:r w:rsidRPr="000E6955">
              <w:rPr>
                <w:b/>
              </w:rPr>
              <w:br/>
            </w:r>
            <w:r w:rsidRPr="000E6955">
              <w:rPr>
                <w:i/>
              </w:rPr>
              <w:t>Maximum 15 points</w:t>
            </w:r>
          </w:p>
        </w:tc>
        <w:tc>
          <w:tcPr>
            <w:tcW w:w="791" w:type="dxa"/>
          </w:tcPr>
          <w:p w14:paraId="085ACC0D" w14:textId="77777777" w:rsidR="00D2499C" w:rsidRPr="000E6955" w:rsidRDefault="00D2499C" w:rsidP="00BE61CD">
            <w:pPr>
              <w:pStyle w:val="Texte"/>
              <w:jc w:val="center"/>
            </w:pPr>
            <w:r w:rsidRPr="000E6955">
              <w:t>15</w:t>
            </w:r>
          </w:p>
        </w:tc>
        <w:tc>
          <w:tcPr>
            <w:tcW w:w="791" w:type="dxa"/>
          </w:tcPr>
          <w:p w14:paraId="1E52BB4F" w14:textId="77777777" w:rsidR="00D2499C" w:rsidRPr="000E6955" w:rsidRDefault="00D2499C" w:rsidP="00BE61CD">
            <w:pPr>
              <w:pStyle w:val="Texte"/>
              <w:jc w:val="center"/>
            </w:pPr>
            <w:r w:rsidRPr="000E6955">
              <w:t>15</w:t>
            </w:r>
          </w:p>
        </w:tc>
        <w:tc>
          <w:tcPr>
            <w:tcW w:w="791" w:type="dxa"/>
          </w:tcPr>
          <w:p w14:paraId="66E87C18" w14:textId="77777777" w:rsidR="00D2499C" w:rsidRPr="000E6955" w:rsidRDefault="00D2499C" w:rsidP="00BE61CD">
            <w:pPr>
              <w:pStyle w:val="Texte"/>
              <w:jc w:val="center"/>
            </w:pPr>
            <w:r w:rsidRPr="000E6955">
              <w:t>0</w:t>
            </w:r>
          </w:p>
        </w:tc>
        <w:tc>
          <w:tcPr>
            <w:tcW w:w="791" w:type="dxa"/>
          </w:tcPr>
          <w:p w14:paraId="7FED9FF9" w14:textId="77777777" w:rsidR="00D2499C" w:rsidRPr="000E6955" w:rsidRDefault="00D2499C" w:rsidP="00BE61CD">
            <w:pPr>
              <w:pStyle w:val="Texte"/>
              <w:jc w:val="center"/>
            </w:pPr>
            <w:r w:rsidRPr="000E6955">
              <w:t>15</w:t>
            </w:r>
          </w:p>
        </w:tc>
      </w:tr>
      <w:tr w:rsidR="00D2499C" w:rsidRPr="000E6955" w14:paraId="1CE19440" w14:textId="77777777" w:rsidTr="009E1426">
        <w:tc>
          <w:tcPr>
            <w:tcW w:w="5755" w:type="dxa"/>
          </w:tcPr>
          <w:p w14:paraId="7419F962" w14:textId="77777777" w:rsidR="00D2499C" w:rsidRPr="000E6955" w:rsidRDefault="00D2499C" w:rsidP="00BE61CD">
            <w:pPr>
              <w:pStyle w:val="Texte"/>
              <w:jc w:val="center"/>
              <w:rPr>
                <w:b/>
              </w:rPr>
            </w:pPr>
            <w:r w:rsidRPr="000E6955">
              <w:rPr>
                <w:b/>
              </w:rPr>
              <w:t>Parité parmi les 10 plus hautes rémunérations</w:t>
            </w:r>
            <w:r w:rsidRPr="000E6955">
              <w:rPr>
                <w:b/>
              </w:rPr>
              <w:br/>
            </w:r>
            <w:r w:rsidRPr="000E6955">
              <w:rPr>
                <w:i/>
              </w:rPr>
              <w:t>Maximum 10 points</w:t>
            </w:r>
          </w:p>
        </w:tc>
        <w:tc>
          <w:tcPr>
            <w:tcW w:w="791" w:type="dxa"/>
          </w:tcPr>
          <w:p w14:paraId="238126D4" w14:textId="77777777" w:rsidR="00D2499C" w:rsidRPr="000E6955" w:rsidRDefault="00D2499C" w:rsidP="00BE61CD">
            <w:pPr>
              <w:pStyle w:val="Texte"/>
              <w:jc w:val="center"/>
            </w:pPr>
            <w:r w:rsidRPr="000E6955">
              <w:t>0</w:t>
            </w:r>
          </w:p>
        </w:tc>
        <w:tc>
          <w:tcPr>
            <w:tcW w:w="791" w:type="dxa"/>
          </w:tcPr>
          <w:p w14:paraId="2CBB612B" w14:textId="77777777" w:rsidR="00D2499C" w:rsidRPr="000E6955" w:rsidRDefault="00D2499C" w:rsidP="00BE61CD">
            <w:pPr>
              <w:pStyle w:val="Texte"/>
              <w:jc w:val="center"/>
            </w:pPr>
            <w:r w:rsidRPr="000E6955">
              <w:t>0</w:t>
            </w:r>
          </w:p>
        </w:tc>
        <w:tc>
          <w:tcPr>
            <w:tcW w:w="791" w:type="dxa"/>
          </w:tcPr>
          <w:p w14:paraId="2B8B7368" w14:textId="77777777" w:rsidR="00D2499C" w:rsidRPr="000E6955" w:rsidRDefault="00D2499C" w:rsidP="00BE61CD">
            <w:pPr>
              <w:pStyle w:val="Texte"/>
              <w:jc w:val="center"/>
            </w:pPr>
            <w:r w:rsidRPr="000E6955">
              <w:t>0</w:t>
            </w:r>
          </w:p>
        </w:tc>
        <w:tc>
          <w:tcPr>
            <w:tcW w:w="791" w:type="dxa"/>
          </w:tcPr>
          <w:p w14:paraId="1FD72CE2" w14:textId="77777777" w:rsidR="00D2499C" w:rsidRPr="000E6955" w:rsidRDefault="00D2499C" w:rsidP="00BE61CD">
            <w:pPr>
              <w:pStyle w:val="Texte"/>
              <w:jc w:val="center"/>
            </w:pPr>
            <w:r w:rsidRPr="000E6955">
              <w:t>0</w:t>
            </w:r>
          </w:p>
        </w:tc>
      </w:tr>
      <w:tr w:rsidR="00D2499C" w:rsidRPr="000E6955" w14:paraId="08FCE973" w14:textId="77777777" w:rsidTr="009E1426">
        <w:tc>
          <w:tcPr>
            <w:tcW w:w="5755" w:type="dxa"/>
          </w:tcPr>
          <w:p w14:paraId="15010CEE" w14:textId="77777777" w:rsidR="00D2499C" w:rsidRPr="000E6955" w:rsidRDefault="00D2499C" w:rsidP="00BE61CD">
            <w:pPr>
              <w:pStyle w:val="Texte"/>
              <w:jc w:val="center"/>
              <w:rPr>
                <w:b/>
              </w:rPr>
            </w:pPr>
            <w:r w:rsidRPr="000E6955">
              <w:rPr>
                <w:b/>
              </w:rPr>
              <w:t>Total</w:t>
            </w:r>
            <w:r w:rsidRPr="000E6955">
              <w:rPr>
                <w:b/>
              </w:rPr>
              <w:br/>
            </w:r>
            <w:r w:rsidRPr="000E6955">
              <w:rPr>
                <w:i/>
              </w:rPr>
              <w:t>Maximum 100 points</w:t>
            </w:r>
          </w:p>
        </w:tc>
        <w:tc>
          <w:tcPr>
            <w:tcW w:w="791" w:type="dxa"/>
          </w:tcPr>
          <w:p w14:paraId="6459CA58" w14:textId="77777777" w:rsidR="00D2499C" w:rsidRPr="000E6955" w:rsidRDefault="00D2499C" w:rsidP="00BE61CD">
            <w:pPr>
              <w:pStyle w:val="Texte"/>
              <w:jc w:val="center"/>
              <w:rPr>
                <w:b/>
              </w:rPr>
            </w:pPr>
            <w:r w:rsidRPr="000E6955">
              <w:rPr>
                <w:b/>
              </w:rPr>
              <w:t>89</w:t>
            </w:r>
          </w:p>
        </w:tc>
        <w:tc>
          <w:tcPr>
            <w:tcW w:w="791" w:type="dxa"/>
          </w:tcPr>
          <w:p w14:paraId="63B48189" w14:textId="77777777" w:rsidR="00D2499C" w:rsidRPr="000E6955" w:rsidRDefault="00D2499C" w:rsidP="00BE61CD">
            <w:pPr>
              <w:pStyle w:val="Texte"/>
              <w:jc w:val="center"/>
              <w:rPr>
                <w:b/>
              </w:rPr>
            </w:pPr>
            <w:r w:rsidRPr="000E6955">
              <w:rPr>
                <w:b/>
              </w:rPr>
              <w:t>88</w:t>
            </w:r>
          </w:p>
        </w:tc>
        <w:tc>
          <w:tcPr>
            <w:tcW w:w="791" w:type="dxa"/>
          </w:tcPr>
          <w:p w14:paraId="1EDA505E" w14:textId="77777777" w:rsidR="00D2499C" w:rsidRPr="000E6955" w:rsidRDefault="00D2499C" w:rsidP="00BE61CD">
            <w:pPr>
              <w:pStyle w:val="Texte"/>
              <w:jc w:val="center"/>
              <w:rPr>
                <w:b/>
              </w:rPr>
            </w:pPr>
            <w:r w:rsidRPr="000E6955">
              <w:rPr>
                <w:b/>
              </w:rPr>
              <w:t>70</w:t>
            </w:r>
          </w:p>
        </w:tc>
        <w:tc>
          <w:tcPr>
            <w:tcW w:w="791" w:type="dxa"/>
          </w:tcPr>
          <w:p w14:paraId="3849F9B2" w14:textId="77777777" w:rsidR="00D2499C" w:rsidRPr="000E6955" w:rsidRDefault="00D2499C" w:rsidP="00BE61CD">
            <w:pPr>
              <w:pStyle w:val="Texte"/>
              <w:jc w:val="center"/>
              <w:rPr>
                <w:b/>
              </w:rPr>
            </w:pPr>
            <w:r w:rsidRPr="000E6955">
              <w:rPr>
                <w:b/>
              </w:rPr>
              <w:t>76</w:t>
            </w:r>
          </w:p>
        </w:tc>
      </w:tr>
    </w:tbl>
    <w:p w14:paraId="04199283" w14:textId="13BF9442" w:rsidR="00D2499C" w:rsidRPr="000E6955" w:rsidRDefault="004445D0" w:rsidP="009E1426">
      <w:pPr>
        <w:pStyle w:val="CorpsTexteI10BT"/>
        <w:spacing w:before="240"/>
      </w:pPr>
      <w:r w:rsidRPr="000E6955">
        <w:t>Cette donnée est publiée sur le site Internet de Bertin Technologies.</w:t>
      </w:r>
    </w:p>
    <w:p w14:paraId="37A76A24" w14:textId="0A3FC442" w:rsidR="003C681B" w:rsidRPr="000E6955" w:rsidRDefault="003C681B" w:rsidP="00D2499C">
      <w:pPr>
        <w:pStyle w:val="CorpsTexteI10BT"/>
      </w:pPr>
    </w:p>
    <w:p w14:paraId="2A595D9B" w14:textId="0FF7A388" w:rsidR="004A08A1" w:rsidRPr="000E6955" w:rsidRDefault="004A08A1" w:rsidP="000771AD">
      <w:pPr>
        <w:pStyle w:val="3"/>
      </w:pPr>
      <w:r w:rsidRPr="000E6955">
        <w:t>La grille des salaires</w:t>
      </w:r>
    </w:p>
    <w:p w14:paraId="4EDB00B1" w14:textId="3A3BCB0B" w:rsidR="003E1F95" w:rsidRPr="000E6955" w:rsidRDefault="003E1F95" w:rsidP="00D2499C">
      <w:pPr>
        <w:pStyle w:val="CorpsTexteI10BT"/>
      </w:pPr>
      <w:r w:rsidRPr="000E6955">
        <w:t>La grille de salaire est le tableau qui représente la photographie des salaires des collaborateurs de Bertin Technologies en fonction de plusieurs critères tels que le niveau, coefficient hiérarchique</w:t>
      </w:r>
      <w:r w:rsidR="003B6020" w:rsidRPr="000E6955">
        <w:t> ;</w:t>
      </w:r>
      <w:r w:rsidR="003344DF" w:rsidRPr="000E6955">
        <w:t xml:space="preserve"> salaire</w:t>
      </w:r>
      <w:r w:rsidR="003B6020" w:rsidRPr="000E6955">
        <w:t>s</w:t>
      </w:r>
      <w:r w:rsidR="003344DF" w:rsidRPr="000E6955">
        <w:t xml:space="preserve"> mini, moyen, ma</w:t>
      </w:r>
      <w:r w:rsidR="003B6020" w:rsidRPr="000E6955">
        <w:t>x</w:t>
      </w:r>
      <w:r w:rsidR="003344DF" w:rsidRPr="000E6955">
        <w:t>i</w:t>
      </w:r>
      <w:r w:rsidR="003B6020" w:rsidRPr="000E6955">
        <w:t> ;</w:t>
      </w:r>
      <w:r w:rsidR="003344DF" w:rsidRPr="000E6955">
        <w:t xml:space="preserve"> par sexe.</w:t>
      </w:r>
    </w:p>
    <w:p w14:paraId="4B58D7BD" w14:textId="5C614851" w:rsidR="004A08A1" w:rsidRPr="000E6955" w:rsidRDefault="003E1F95" w:rsidP="00D2499C">
      <w:pPr>
        <w:pStyle w:val="CorpsTexteI10BT"/>
      </w:pPr>
      <w:r w:rsidRPr="000E6955">
        <w:t>Elle est élaborée semestriellement et diffusée aux Représentants du Personnel du CSE.</w:t>
      </w:r>
    </w:p>
    <w:p w14:paraId="13109A8C" w14:textId="77777777" w:rsidR="00854B02" w:rsidRPr="000E6955" w:rsidRDefault="00854B02" w:rsidP="00D2499C">
      <w:pPr>
        <w:pStyle w:val="CorpsTexteI10BT"/>
      </w:pPr>
    </w:p>
    <w:p w14:paraId="769CA5EA" w14:textId="24D07A97" w:rsidR="00EA5B68" w:rsidRPr="000E6955" w:rsidRDefault="00EA5B68" w:rsidP="009012D0">
      <w:pPr>
        <w:pStyle w:val="3"/>
      </w:pPr>
      <w:r w:rsidRPr="000E6955">
        <w:t>Révisions de salaire</w:t>
      </w:r>
    </w:p>
    <w:p w14:paraId="7BC9526F" w14:textId="77777777" w:rsidR="00EA5B68" w:rsidRPr="000E6955" w:rsidRDefault="00EA5B68" w:rsidP="009E1426">
      <w:pPr>
        <w:spacing w:before="120" w:after="0"/>
        <w:rPr>
          <w:rFonts w:cs="Arial"/>
          <w:szCs w:val="22"/>
        </w:rPr>
      </w:pPr>
      <w:r w:rsidRPr="000E6955">
        <w:rPr>
          <w:rFonts w:cs="Arial"/>
          <w:szCs w:val="22"/>
        </w:rPr>
        <w:t>Bertin Technologies s’engage à assurer, lors des révisions salariales annuelles, l’égalité de rémunération pour un même travail ou pour un travail de valeur égale, entre les femmes et les hommes. Il convient notamment de ne pas prendre en compte les périodes de congés maternité, d’adoption pour limiter ou annuler une augmentation de salaire.</w:t>
      </w:r>
    </w:p>
    <w:p w14:paraId="5D1EB6AF" w14:textId="77777777" w:rsidR="00EA5B68" w:rsidRPr="000E6955" w:rsidRDefault="00EA5B68" w:rsidP="009E1426">
      <w:pPr>
        <w:spacing w:before="120" w:after="0"/>
        <w:rPr>
          <w:rFonts w:cs="Arial"/>
          <w:szCs w:val="22"/>
        </w:rPr>
      </w:pPr>
      <w:r w:rsidRPr="000E6955">
        <w:rPr>
          <w:rFonts w:cs="Arial"/>
          <w:szCs w:val="22"/>
        </w:rPr>
        <w:t>En cas de départ en congé maternité ou d’adoption avant la période des Entretiens Annuels d’Evaluation (EAE), le responsable hiérarchique conviera, dans la mesure du possible, son-sa collaborateur(</w:t>
      </w:r>
      <w:proofErr w:type="spellStart"/>
      <w:r w:rsidRPr="000E6955">
        <w:rPr>
          <w:rFonts w:cs="Arial"/>
          <w:szCs w:val="22"/>
        </w:rPr>
        <w:t>trice</w:t>
      </w:r>
      <w:proofErr w:type="spellEnd"/>
      <w:r w:rsidRPr="000E6955">
        <w:rPr>
          <w:rFonts w:cs="Arial"/>
          <w:szCs w:val="22"/>
        </w:rPr>
        <w:t>) concerné(e) avant son départ afin de réaliser son EAE.</w:t>
      </w:r>
    </w:p>
    <w:p w14:paraId="595EF862" w14:textId="77777777" w:rsidR="00EA5B68" w:rsidRPr="000E6955" w:rsidRDefault="00EA5B68" w:rsidP="009E1426">
      <w:pPr>
        <w:spacing w:before="120" w:after="0"/>
        <w:rPr>
          <w:rFonts w:cs="Arial"/>
          <w:szCs w:val="22"/>
        </w:rPr>
      </w:pPr>
      <w:r w:rsidRPr="000E6955">
        <w:rPr>
          <w:rFonts w:cs="Arial"/>
          <w:szCs w:val="22"/>
        </w:rPr>
        <w:t>L’année de son retour d’un congé de maternité ou d’adoption, la collaboratrice ou le collaborateur bénéficiera d’une augmentation individuelle annuelle au moins égale à la médiane des augmentations individuelles annuelles accordées dans l’Entreprise pour une même position et un même coefficient de la classification de la convention collective, ancienneté et compétence équivalentes.</w:t>
      </w:r>
    </w:p>
    <w:p w14:paraId="5F111033" w14:textId="77777777" w:rsidR="00EA5B68" w:rsidRPr="000E6955" w:rsidRDefault="00EA5B68" w:rsidP="009E1426">
      <w:pPr>
        <w:spacing w:before="120" w:after="0"/>
        <w:rPr>
          <w:rFonts w:cs="Arial"/>
          <w:szCs w:val="22"/>
        </w:rPr>
      </w:pPr>
      <w:r w:rsidRPr="000E6955">
        <w:rPr>
          <w:rFonts w:cs="Arial"/>
          <w:szCs w:val="22"/>
        </w:rPr>
        <w:t>Pour promouvoir ce principe, cette notion sera intégrée dans le système de management de Bertin Technologies ; l’équité salariale est un élément de l’évaluation des compétences des responsables hiérarchiques.</w:t>
      </w:r>
    </w:p>
    <w:p w14:paraId="2A78F22F" w14:textId="1411D448" w:rsidR="00EA5B68" w:rsidRPr="000E6955" w:rsidRDefault="00EA5B68" w:rsidP="009E1426">
      <w:pPr>
        <w:spacing w:before="120" w:after="0"/>
        <w:rPr>
          <w:rFonts w:cs="Arial"/>
          <w:szCs w:val="22"/>
        </w:rPr>
      </w:pPr>
      <w:r w:rsidRPr="000E6955">
        <w:rPr>
          <w:rFonts w:cs="Arial"/>
          <w:szCs w:val="22"/>
        </w:rPr>
        <w:t xml:space="preserve">La Direction Générale et les Ressources Humaines s’impliquent pour garantir l’équité entre les différentes Business </w:t>
      </w:r>
      <w:r w:rsidR="003E3156" w:rsidRPr="000E6955">
        <w:rPr>
          <w:rFonts w:cs="Arial"/>
          <w:szCs w:val="22"/>
        </w:rPr>
        <w:t>Lines</w:t>
      </w:r>
      <w:r w:rsidRPr="000E6955">
        <w:rPr>
          <w:rFonts w:cs="Arial"/>
          <w:szCs w:val="22"/>
        </w:rPr>
        <w:t xml:space="preserve"> de l’Entreprise.</w:t>
      </w:r>
    </w:p>
    <w:p w14:paraId="12F965B0" w14:textId="77777777" w:rsidR="00EA5B68" w:rsidRPr="000E6955" w:rsidRDefault="00EA5B68" w:rsidP="009E1426">
      <w:pPr>
        <w:pStyle w:val="a4"/>
        <w:spacing w:before="120" w:after="0"/>
        <w:rPr>
          <w:rFonts w:cs="Arial"/>
          <w:szCs w:val="22"/>
        </w:rPr>
      </w:pPr>
      <w:r w:rsidRPr="000E6955">
        <w:rPr>
          <w:rFonts w:cs="Arial"/>
          <w:szCs w:val="22"/>
        </w:rPr>
        <w:lastRenderedPageBreak/>
        <w:t>Les collaborateurs à temps partiel représentant une part plus importante de femmes, une vigilance particulière sera portée lors des révisions salariales aux salariés travaillant à temps partiel afin de ne pas les pénaliser par rapport aux salariés travaillant à temps complet.</w:t>
      </w:r>
    </w:p>
    <w:p w14:paraId="27A9CF5A" w14:textId="2D1A4D3C" w:rsidR="00EA5B68" w:rsidRPr="000E6955" w:rsidRDefault="00EA5B68" w:rsidP="009E1426">
      <w:pPr>
        <w:pStyle w:val="a4"/>
        <w:spacing w:before="240"/>
        <w:rPr>
          <w:rFonts w:cs="Arial"/>
          <w:b/>
          <w:szCs w:val="22"/>
          <w:u w:val="single"/>
        </w:rPr>
      </w:pPr>
      <w:r w:rsidRPr="000E6955">
        <w:rPr>
          <w:rFonts w:cs="Arial"/>
          <w:b/>
          <w:szCs w:val="22"/>
        </w:rPr>
        <w:t xml:space="preserve">Action : </w:t>
      </w:r>
      <w:r w:rsidRPr="000E6955">
        <w:rPr>
          <w:rFonts w:cs="Arial"/>
          <w:szCs w:val="22"/>
        </w:rPr>
        <w:t xml:space="preserve">S’assurer de l’égalité salariale entre les femmes et les hommes lors des révisions salariales annuelles. La Société </w:t>
      </w:r>
      <w:r w:rsidR="00880DCB" w:rsidRPr="000E6955">
        <w:rPr>
          <w:rFonts w:cs="Arial"/>
          <w:szCs w:val="22"/>
        </w:rPr>
        <w:t>dégagera</w:t>
      </w:r>
      <w:r w:rsidRPr="000E6955">
        <w:rPr>
          <w:rFonts w:cs="Arial"/>
          <w:szCs w:val="22"/>
        </w:rPr>
        <w:t xml:space="preserve"> lors des NAO</w:t>
      </w:r>
      <w:r w:rsidR="003D28E8">
        <w:rPr>
          <w:rFonts w:cs="Arial"/>
          <w:szCs w:val="22"/>
        </w:rPr>
        <w:t xml:space="preserve"> (</w:t>
      </w:r>
      <w:r w:rsidR="003D28E8">
        <w:t>Négociations Annuelles Obligatoires</w:t>
      </w:r>
      <w:r w:rsidR="003D28E8" w:rsidRPr="000E6955">
        <w:rPr>
          <w:rStyle w:val="ae"/>
          <w:rFonts w:cs="Arial"/>
          <w:szCs w:val="22"/>
        </w:rPr>
        <w:t xml:space="preserve"> </w:t>
      </w:r>
      <w:r w:rsidR="003D28E8">
        <w:rPr>
          <w:rFonts w:cs="Arial"/>
          <w:szCs w:val="22"/>
        </w:rPr>
        <w:t>)</w:t>
      </w:r>
      <w:r w:rsidRPr="000E6955">
        <w:rPr>
          <w:rFonts w:cs="Arial"/>
          <w:szCs w:val="22"/>
        </w:rPr>
        <w:t xml:space="preserve"> annuelles</w:t>
      </w:r>
      <w:r w:rsidR="00880DCB" w:rsidRPr="000E6955">
        <w:rPr>
          <w:rFonts w:cs="Arial"/>
          <w:szCs w:val="22"/>
        </w:rPr>
        <w:t xml:space="preserve">, à chaque fois que nécessaire, </w:t>
      </w:r>
      <w:r w:rsidRPr="000E6955">
        <w:rPr>
          <w:rFonts w:cs="Arial"/>
          <w:szCs w:val="22"/>
        </w:rPr>
        <w:t xml:space="preserve">une enveloppe dédiée à ajuster les différences de rémunération homme/femme à poste, fonctions et responsabilités égales. La grille des salaires éditée </w:t>
      </w:r>
      <w:r w:rsidR="003D28E8">
        <w:rPr>
          <w:rFonts w:cs="Arial"/>
          <w:szCs w:val="22"/>
        </w:rPr>
        <w:br/>
      </w:r>
      <w:proofErr w:type="spellStart"/>
      <w:r w:rsidRPr="000E6955">
        <w:rPr>
          <w:rFonts w:cs="Arial"/>
          <w:szCs w:val="22"/>
        </w:rPr>
        <w:t>bi-annuellement</w:t>
      </w:r>
      <w:proofErr w:type="spellEnd"/>
      <w:r w:rsidRPr="000E6955">
        <w:rPr>
          <w:rFonts w:cs="Arial"/>
          <w:szCs w:val="22"/>
        </w:rPr>
        <w:t xml:space="preserve"> servira de référence pour suivre cette progression.</w:t>
      </w:r>
    </w:p>
    <w:p w14:paraId="4BF4089A" w14:textId="77777777" w:rsidR="00EA5B68" w:rsidRPr="000E6955" w:rsidRDefault="00EA5B68" w:rsidP="009E1426">
      <w:pPr>
        <w:pStyle w:val="a4"/>
        <w:spacing w:before="240"/>
        <w:rPr>
          <w:rFonts w:cs="Arial"/>
          <w:szCs w:val="22"/>
        </w:rPr>
      </w:pPr>
      <w:r w:rsidRPr="000E6955">
        <w:rPr>
          <w:rFonts w:cs="Arial"/>
          <w:b/>
          <w:szCs w:val="22"/>
        </w:rPr>
        <w:t>Indicateurs de suivi :</w:t>
      </w:r>
      <w:r w:rsidRPr="000E6955">
        <w:rPr>
          <w:rFonts w:cs="Arial"/>
          <w:szCs w:val="22"/>
        </w:rPr>
        <w:t xml:space="preserve"> A l’issue des révisions salariales annuelles, il sera notamment calculé :</w:t>
      </w:r>
    </w:p>
    <w:p w14:paraId="6BFAD615" w14:textId="143E6F31" w:rsidR="00EA5B68" w:rsidRPr="000E6955" w:rsidRDefault="009E1426" w:rsidP="00EA5B68">
      <w:pPr>
        <w:pStyle w:val="a"/>
      </w:pPr>
      <w:r w:rsidRPr="000E6955">
        <w:t xml:space="preserve">La </w:t>
      </w:r>
      <w:r w:rsidR="00EA5B68" w:rsidRPr="000E6955">
        <w:t>médiane des augmentations individuelles des femmes et des hommes au niveau des catégories professionnelles</w:t>
      </w:r>
      <w:r>
        <w:t> ;</w:t>
      </w:r>
    </w:p>
    <w:p w14:paraId="10F3D12D" w14:textId="0DFDFBC4" w:rsidR="00EA5B68" w:rsidRPr="000E6955" w:rsidRDefault="009E1426" w:rsidP="00EA5B68">
      <w:pPr>
        <w:pStyle w:val="a"/>
      </w:pPr>
      <w:r w:rsidRPr="000E6955">
        <w:t xml:space="preserve">Le </w:t>
      </w:r>
      <w:r w:rsidR="00EA5B68" w:rsidRPr="000E6955">
        <w:t>pourcentage d’augmentation des femmes et des hommes de retour d’un congé de maternité ou d’adoption comparé à la moyenne des augmentations individuelles</w:t>
      </w:r>
      <w:r>
        <w:t> ;</w:t>
      </w:r>
    </w:p>
    <w:p w14:paraId="74AC7466" w14:textId="574B689A" w:rsidR="00EA5B68" w:rsidRPr="000E6955" w:rsidRDefault="009E1426" w:rsidP="00EA5B68">
      <w:pPr>
        <w:pStyle w:val="a"/>
      </w:pPr>
      <w:r w:rsidRPr="000E6955">
        <w:t xml:space="preserve">Le </w:t>
      </w:r>
      <w:r w:rsidR="00EA5B68" w:rsidRPr="000E6955">
        <w:t>pourcentage d’augmentation des collaborateurs à temps partiel femmes/hommes comparé à la moyenne générale totale</w:t>
      </w:r>
      <w:r>
        <w:t> ;</w:t>
      </w:r>
    </w:p>
    <w:p w14:paraId="16FA7115" w14:textId="273867FC" w:rsidR="00EA5B68" w:rsidRPr="000E6955" w:rsidRDefault="009E1426" w:rsidP="00EA5B68">
      <w:pPr>
        <w:pStyle w:val="a"/>
      </w:pPr>
      <w:r w:rsidRPr="000E6955">
        <w:t xml:space="preserve">Le </w:t>
      </w:r>
      <w:r w:rsidR="00EA5B68" w:rsidRPr="000E6955">
        <w:t>pourcentage d’augmentation attribué</w:t>
      </w:r>
      <w:r w:rsidR="00291289" w:rsidRPr="000E6955">
        <w:t>e</w:t>
      </w:r>
      <w:r w:rsidR="00EA5B68" w:rsidRPr="000E6955">
        <w:t xml:space="preserve"> au titre des ajustements.</w:t>
      </w:r>
    </w:p>
    <w:p w14:paraId="062ADE9B" w14:textId="35AAA52B" w:rsidR="000E71F1" w:rsidRPr="000E6955" w:rsidRDefault="000E71F1" w:rsidP="000E71F1">
      <w:pPr>
        <w:pStyle w:val="a"/>
        <w:numPr>
          <w:ilvl w:val="0"/>
          <w:numId w:val="0"/>
        </w:numPr>
        <w:ind w:left="397" w:hanging="397"/>
      </w:pPr>
    </w:p>
    <w:p w14:paraId="5DCAD5A4" w14:textId="273AC8B7" w:rsidR="000E71F1" w:rsidRPr="000E6955" w:rsidRDefault="000E71F1" w:rsidP="009012D0">
      <w:pPr>
        <w:pStyle w:val="3"/>
      </w:pPr>
      <w:bookmarkStart w:id="50" w:name="_Hlk120712073"/>
      <w:r w:rsidRPr="000E6955">
        <w:t>L’évolution professionnelle</w:t>
      </w:r>
    </w:p>
    <w:bookmarkEnd w:id="50"/>
    <w:p w14:paraId="22717BED" w14:textId="77777777" w:rsidR="000E71F1" w:rsidRPr="000E6955" w:rsidRDefault="000E71F1" w:rsidP="009E1426">
      <w:pPr>
        <w:spacing w:before="120" w:after="0"/>
        <w:rPr>
          <w:rFonts w:cs="Arial"/>
          <w:szCs w:val="22"/>
        </w:rPr>
      </w:pPr>
      <w:r w:rsidRPr="000E6955">
        <w:rPr>
          <w:rFonts w:cs="Arial"/>
          <w:szCs w:val="22"/>
        </w:rPr>
        <w:t>L’égalité de traitement implique que les femmes et les hommes puissent avoir accès aux mêmes possibilités d’évolution de carrière.</w:t>
      </w:r>
    </w:p>
    <w:p w14:paraId="3CD5FA45" w14:textId="11C630CB" w:rsidR="000E71F1" w:rsidRPr="000E6955" w:rsidRDefault="000E71F1" w:rsidP="009E1426">
      <w:pPr>
        <w:spacing w:before="120" w:after="0"/>
        <w:rPr>
          <w:rFonts w:cs="Arial"/>
          <w:szCs w:val="22"/>
        </w:rPr>
      </w:pPr>
      <w:r w:rsidRPr="000E6955">
        <w:rPr>
          <w:rFonts w:cs="Arial"/>
          <w:szCs w:val="22"/>
        </w:rPr>
        <w:t>Le haut de la pyramide des classifications fait apparaître une baisse relative à la proportion de Cadres Femmes.</w:t>
      </w:r>
    </w:p>
    <w:p w14:paraId="295A786B" w14:textId="1B90FFF9" w:rsidR="000E71F1" w:rsidRPr="000E6955" w:rsidRDefault="000E71F1" w:rsidP="009E1426">
      <w:pPr>
        <w:spacing w:before="120" w:after="0"/>
        <w:rPr>
          <w:rFonts w:cs="Arial"/>
          <w:szCs w:val="22"/>
        </w:rPr>
      </w:pPr>
      <w:r w:rsidRPr="000E6955">
        <w:rPr>
          <w:rFonts w:cs="Arial"/>
          <w:szCs w:val="22"/>
        </w:rPr>
        <w:t>La Société sera attentive à la mixité des genres dans les activités stratégiques et d’encadrement. Elle favorisera l’accession des femmes à des postes de management et à responsabilités notamment par la mise en place des Entretiens Professionnels</w:t>
      </w:r>
      <w:r w:rsidR="00CB1FBF" w:rsidRPr="000E6955">
        <w:rPr>
          <w:rFonts w:cs="Arial"/>
          <w:szCs w:val="22"/>
        </w:rPr>
        <w:t xml:space="preserve"> (EP)</w:t>
      </w:r>
      <w:r w:rsidRPr="000E6955">
        <w:rPr>
          <w:rFonts w:cs="Arial"/>
          <w:szCs w:val="22"/>
        </w:rPr>
        <w:t xml:space="preserve"> dont les modalités sont décrites au §</w:t>
      </w:r>
      <w:r w:rsidR="00D8734C" w:rsidRPr="000E6955">
        <w:rPr>
          <w:rFonts w:cs="Arial"/>
          <w:szCs w:val="22"/>
        </w:rPr>
        <w:t> </w:t>
      </w:r>
      <w:r w:rsidR="009E1426">
        <w:rPr>
          <w:rFonts w:cs="Arial"/>
          <w:szCs w:val="22"/>
        </w:rPr>
        <w:fldChar w:fldCharType="begin"/>
      </w:r>
      <w:r w:rsidR="009E1426">
        <w:rPr>
          <w:rFonts w:cs="Arial"/>
          <w:szCs w:val="22"/>
        </w:rPr>
        <w:instrText xml:space="preserve"> REF _Ref122000190 \r \h </w:instrText>
      </w:r>
      <w:r w:rsidR="009E1426">
        <w:rPr>
          <w:rFonts w:cs="Arial"/>
          <w:szCs w:val="22"/>
        </w:rPr>
      </w:r>
      <w:r w:rsidR="009E1426">
        <w:rPr>
          <w:rFonts w:cs="Arial"/>
          <w:szCs w:val="22"/>
        </w:rPr>
        <w:fldChar w:fldCharType="separate"/>
      </w:r>
      <w:r w:rsidR="009E1426">
        <w:rPr>
          <w:rFonts w:cs="Arial"/>
          <w:szCs w:val="22"/>
        </w:rPr>
        <w:t>4.4</w:t>
      </w:r>
      <w:r w:rsidR="009E1426">
        <w:rPr>
          <w:rFonts w:cs="Arial"/>
          <w:szCs w:val="22"/>
        </w:rPr>
        <w:fldChar w:fldCharType="end"/>
      </w:r>
      <w:r w:rsidRPr="000E6955">
        <w:rPr>
          <w:rFonts w:cs="Arial"/>
          <w:szCs w:val="22"/>
        </w:rPr>
        <w:t>.</w:t>
      </w:r>
    </w:p>
    <w:p w14:paraId="5D6D4BFF" w14:textId="01BCEA32" w:rsidR="00CB1FBF" w:rsidRPr="000E6955" w:rsidRDefault="000E71F1" w:rsidP="009E1426">
      <w:pPr>
        <w:spacing w:before="240" w:after="0"/>
        <w:rPr>
          <w:rFonts w:cs="Arial"/>
          <w:szCs w:val="22"/>
        </w:rPr>
      </w:pPr>
      <w:r w:rsidRPr="000E6955">
        <w:rPr>
          <w:rFonts w:cs="Arial"/>
          <w:b/>
          <w:szCs w:val="22"/>
        </w:rPr>
        <w:t>Objectif</w:t>
      </w:r>
      <w:r w:rsidR="0068112B" w:rsidRPr="000E6955">
        <w:rPr>
          <w:rFonts w:cs="Arial"/>
          <w:b/>
          <w:szCs w:val="22"/>
        </w:rPr>
        <w:t>s</w:t>
      </w:r>
      <w:r w:rsidR="009E1426">
        <w:rPr>
          <w:rFonts w:cs="Arial"/>
          <w:b/>
          <w:szCs w:val="22"/>
        </w:rPr>
        <w:t> :</w:t>
      </w:r>
    </w:p>
    <w:p w14:paraId="050B9499" w14:textId="412DC737" w:rsidR="00CB1FBF" w:rsidRPr="000E6955" w:rsidRDefault="000E71F1" w:rsidP="00CB1FBF">
      <w:pPr>
        <w:numPr>
          <w:ilvl w:val="0"/>
          <w:numId w:val="2"/>
        </w:numPr>
        <w:rPr>
          <w:rFonts w:cs="Arial"/>
          <w:szCs w:val="22"/>
        </w:rPr>
      </w:pPr>
      <w:r w:rsidRPr="000E6955">
        <w:rPr>
          <w:rFonts w:cs="Arial"/>
          <w:szCs w:val="22"/>
        </w:rPr>
        <w:t>faire progresser au cours des prochaines années la proportion de femmes dans les postes de management. Les candidatures internes des femmes seron</w:t>
      </w:r>
      <w:r w:rsidR="00CB1FBF" w:rsidRPr="000E6955">
        <w:rPr>
          <w:rFonts w:cs="Arial"/>
          <w:szCs w:val="22"/>
        </w:rPr>
        <w:t xml:space="preserve">t particulièrement </w:t>
      </w:r>
      <w:r w:rsidR="004F66E2" w:rsidRPr="000E6955">
        <w:rPr>
          <w:rFonts w:cs="Arial"/>
          <w:szCs w:val="22"/>
        </w:rPr>
        <w:t>encourag</w:t>
      </w:r>
      <w:r w:rsidR="00CB1FBF" w:rsidRPr="000E6955">
        <w:rPr>
          <w:rFonts w:cs="Arial"/>
          <w:szCs w:val="22"/>
        </w:rPr>
        <w:t>ées ;</w:t>
      </w:r>
    </w:p>
    <w:p w14:paraId="46355D50" w14:textId="0891905D" w:rsidR="00CB1FBF" w:rsidRPr="000E6955" w:rsidRDefault="00CB1FBF" w:rsidP="00CB1FBF">
      <w:pPr>
        <w:pStyle w:val="a"/>
      </w:pPr>
      <w:r w:rsidRPr="000E6955">
        <w:t>assurer une parité F/H en proportion d’Entretiens Professionnels menés au niveau de chaque département en fonction de l’effectif.</w:t>
      </w:r>
    </w:p>
    <w:p w14:paraId="7690D729" w14:textId="54E9480E" w:rsidR="00CB1FBF" w:rsidRPr="000E6955" w:rsidRDefault="000E71F1" w:rsidP="009E1426">
      <w:pPr>
        <w:spacing w:before="240" w:after="0"/>
        <w:rPr>
          <w:rFonts w:cs="Arial"/>
          <w:b/>
          <w:szCs w:val="22"/>
        </w:rPr>
      </w:pPr>
      <w:r w:rsidRPr="000E6955">
        <w:rPr>
          <w:rFonts w:cs="Arial"/>
          <w:b/>
          <w:szCs w:val="22"/>
        </w:rPr>
        <w:t>Indicateur</w:t>
      </w:r>
      <w:r w:rsidR="00FF79BE" w:rsidRPr="000E6955">
        <w:rPr>
          <w:rFonts w:cs="Arial"/>
          <w:b/>
          <w:szCs w:val="22"/>
        </w:rPr>
        <w:t>s</w:t>
      </w:r>
      <w:r w:rsidRPr="000E6955">
        <w:rPr>
          <w:rFonts w:cs="Arial"/>
          <w:b/>
          <w:szCs w:val="22"/>
        </w:rPr>
        <w:t xml:space="preserve"> de suivi : </w:t>
      </w:r>
    </w:p>
    <w:p w14:paraId="462796C2" w14:textId="41101BF1" w:rsidR="000E71F1" w:rsidRPr="000E6955" w:rsidRDefault="000E71F1" w:rsidP="00CB1FBF">
      <w:pPr>
        <w:pStyle w:val="a"/>
      </w:pPr>
      <w:r w:rsidRPr="000E6955">
        <w:t xml:space="preserve">nombre et proportion de femmes occupant des postes à partir de la position hiérarchique </w:t>
      </w:r>
      <w:r w:rsidR="009A1143" w:rsidRPr="000E6955">
        <w:t>2</w:t>
      </w:r>
      <w:r w:rsidRPr="000E6955">
        <w:t>.</w:t>
      </w:r>
      <w:r w:rsidR="009A1143" w:rsidRPr="000E6955">
        <w:t>3</w:t>
      </w:r>
      <w:r w:rsidR="0068112B" w:rsidRPr="000E6955">
        <w:t>,</w:t>
      </w:r>
    </w:p>
    <w:p w14:paraId="235A061F" w14:textId="3BC45EDD" w:rsidR="00CB1FBF" w:rsidRPr="000E6955" w:rsidRDefault="00CB1FBF" w:rsidP="00CB1FBF">
      <w:pPr>
        <w:pStyle w:val="a"/>
      </w:pPr>
      <w:r w:rsidRPr="000E6955">
        <w:t>nombre d’EP menés annuellement par position hiérarchique / coefficient hiérarchique et par genre.</w:t>
      </w:r>
    </w:p>
    <w:p w14:paraId="0A73D3CF" w14:textId="2C3DCBFE" w:rsidR="00A27927" w:rsidRPr="000E6955" w:rsidRDefault="00A27927" w:rsidP="008D2AB9">
      <w:pPr>
        <w:pStyle w:val="CorpsTexteI10BT"/>
      </w:pPr>
    </w:p>
    <w:p w14:paraId="176B084F" w14:textId="68AE395C" w:rsidR="006420B1" w:rsidRPr="000E6955" w:rsidRDefault="006420B1" w:rsidP="009012D0">
      <w:pPr>
        <w:pStyle w:val="3"/>
      </w:pPr>
      <w:r w:rsidRPr="000E6955">
        <w:t>Le Bilan Social</w:t>
      </w:r>
    </w:p>
    <w:p w14:paraId="3FE1D000" w14:textId="55FC764E" w:rsidR="006420B1" w:rsidRPr="000E6955" w:rsidRDefault="004B4886" w:rsidP="009E1426">
      <w:pPr>
        <w:pStyle w:val="CorpsTexteI10BT"/>
        <w:spacing w:before="120"/>
      </w:pPr>
      <w:r w:rsidRPr="000E6955">
        <w:t>Le Bilan Social est le document qui résume des informations relatives à l’emploi, aux salariés, à leurs rémunérations et aux conditions de travail dans l’Entreprise.</w:t>
      </w:r>
    </w:p>
    <w:p w14:paraId="724EEE45" w14:textId="167C2039" w:rsidR="004B4886" w:rsidRPr="000E6955" w:rsidRDefault="004B4886" w:rsidP="009E1426">
      <w:pPr>
        <w:pStyle w:val="CorpsTexteI10BT"/>
        <w:spacing w:before="120"/>
      </w:pPr>
      <w:r w:rsidRPr="000E6955">
        <w:t>Ce document est élaboré chaque année.</w:t>
      </w:r>
    </w:p>
    <w:p w14:paraId="32ECF15E" w14:textId="77E5702D" w:rsidR="004B4886" w:rsidRPr="000E6955" w:rsidRDefault="004B4886" w:rsidP="009E1426">
      <w:pPr>
        <w:pStyle w:val="CorpsTexteI10BT"/>
        <w:spacing w:before="120"/>
      </w:pPr>
      <w:r w:rsidRPr="000E6955">
        <w:t>Les Représentants du Personnel au CSE sont consultés chaque année.</w:t>
      </w:r>
    </w:p>
    <w:p w14:paraId="55E0CBA3" w14:textId="77777777" w:rsidR="006420B1" w:rsidRPr="000E6955" w:rsidRDefault="006420B1" w:rsidP="008D2AB9">
      <w:pPr>
        <w:pStyle w:val="CorpsTexteI10BT"/>
      </w:pPr>
    </w:p>
    <w:p w14:paraId="6E0C4FF0" w14:textId="2894A309" w:rsidR="00617C7F" w:rsidRPr="000E6955" w:rsidRDefault="00617C7F" w:rsidP="00717443">
      <w:pPr>
        <w:pStyle w:val="2"/>
      </w:pPr>
      <w:bookmarkStart w:id="51" w:name="_Toc122001648"/>
      <w:r w:rsidRPr="000E6955">
        <w:lastRenderedPageBreak/>
        <w:t>L</w:t>
      </w:r>
      <w:r w:rsidR="00DF394E" w:rsidRPr="000E6955">
        <w:t>a Formation P</w:t>
      </w:r>
      <w:r w:rsidRPr="000E6955">
        <w:t>rofessionnelle</w:t>
      </w:r>
      <w:bookmarkEnd w:id="51"/>
    </w:p>
    <w:p w14:paraId="31C2EF92" w14:textId="1EB0097D" w:rsidR="000E231A" w:rsidRPr="000E6955" w:rsidRDefault="000E231A" w:rsidP="00717443">
      <w:pPr>
        <w:pStyle w:val="3"/>
      </w:pPr>
      <w:r w:rsidRPr="000E6955">
        <w:t xml:space="preserve">Le </w:t>
      </w:r>
      <w:r w:rsidR="00D2000E" w:rsidRPr="000E6955">
        <w:t>Plan de développement des compétences</w:t>
      </w:r>
    </w:p>
    <w:p w14:paraId="6A593462" w14:textId="77777777" w:rsidR="000E231A" w:rsidRPr="000E6955" w:rsidRDefault="000E231A" w:rsidP="009E1426">
      <w:pPr>
        <w:tabs>
          <w:tab w:val="center" w:pos="4536"/>
          <w:tab w:val="right" w:pos="9072"/>
        </w:tabs>
        <w:spacing w:before="120"/>
        <w:rPr>
          <w:rFonts w:cs="Arial"/>
          <w:szCs w:val="22"/>
        </w:rPr>
      </w:pPr>
      <w:r w:rsidRPr="000E6955">
        <w:rPr>
          <w:rFonts w:cs="Arial"/>
          <w:szCs w:val="22"/>
        </w:rPr>
        <w:t>La formation est un des leviers permettant aux collaborateurs de bénéficier d’une évolution professionnelle.</w:t>
      </w:r>
    </w:p>
    <w:p w14:paraId="372C3CD0" w14:textId="2BA8EDD7" w:rsidR="000E231A" w:rsidRPr="000E6955" w:rsidRDefault="000E231A" w:rsidP="009E1426">
      <w:pPr>
        <w:tabs>
          <w:tab w:val="center" w:pos="4536"/>
          <w:tab w:val="right" w:pos="9072"/>
        </w:tabs>
        <w:spacing w:before="120"/>
        <w:rPr>
          <w:rFonts w:cs="Arial"/>
          <w:szCs w:val="22"/>
        </w:rPr>
      </w:pPr>
      <w:r w:rsidRPr="000E6955">
        <w:rPr>
          <w:rFonts w:cs="Arial"/>
          <w:szCs w:val="22"/>
        </w:rPr>
        <w:t xml:space="preserve">Toutes formations dispensées au titre du plan de </w:t>
      </w:r>
      <w:r w:rsidR="0010771E" w:rsidRPr="000E6955">
        <w:rPr>
          <w:rFonts w:cs="Arial"/>
          <w:szCs w:val="22"/>
        </w:rPr>
        <w:t xml:space="preserve">développement des compétences </w:t>
      </w:r>
      <w:r w:rsidRPr="000E6955">
        <w:rPr>
          <w:rFonts w:cs="Arial"/>
          <w:szCs w:val="22"/>
        </w:rPr>
        <w:t>seront accessibles, en fonction des besoins validés par leur responsable, à l’ensemble du personnel féminin et masculin.</w:t>
      </w:r>
    </w:p>
    <w:p w14:paraId="62FEABC1" w14:textId="0F579928" w:rsidR="000E231A" w:rsidRPr="000E6955" w:rsidRDefault="000E231A" w:rsidP="009E1426">
      <w:pPr>
        <w:suppressAutoHyphens w:val="0"/>
        <w:spacing w:before="240" w:after="160" w:line="259" w:lineRule="auto"/>
        <w:rPr>
          <w:rFonts w:ascii="Helvetica" w:hAnsi="Helvetica" w:cs="Arial"/>
          <w:szCs w:val="22"/>
        </w:rPr>
      </w:pPr>
      <w:r w:rsidRPr="000E6955">
        <w:rPr>
          <w:rFonts w:ascii="Helvetica" w:hAnsi="Helvetica" w:cs="Arial"/>
          <w:b/>
          <w:szCs w:val="22"/>
        </w:rPr>
        <w:t>Objectif </w:t>
      </w:r>
      <w:r w:rsidRPr="000E6955">
        <w:rPr>
          <w:rFonts w:ascii="Helvetica" w:hAnsi="Helvetica" w:cs="Arial"/>
          <w:b/>
          <w:i/>
          <w:szCs w:val="22"/>
        </w:rPr>
        <w:t>:</w:t>
      </w:r>
      <w:r w:rsidRPr="000E6955">
        <w:rPr>
          <w:rFonts w:ascii="Helvetica" w:hAnsi="Helvetica" w:cs="Arial"/>
          <w:i/>
          <w:szCs w:val="22"/>
        </w:rPr>
        <w:t xml:space="preserve"> </w:t>
      </w:r>
      <w:r w:rsidRPr="000E6955">
        <w:rPr>
          <w:rFonts w:ascii="Helvetica" w:hAnsi="Helvetica" w:cs="Arial"/>
          <w:szCs w:val="22"/>
        </w:rPr>
        <w:t>favoriser l’accès de la formation professionnelle aux collaborateurs des deux sexes compte tenu de la proportion des effectifs existants :</w:t>
      </w:r>
      <w:r w:rsidR="0010771E" w:rsidRPr="000E6955">
        <w:rPr>
          <w:rFonts w:ascii="Helvetica" w:hAnsi="Helvetica" w:cs="Arial"/>
          <w:szCs w:val="22"/>
        </w:rPr>
        <w:t xml:space="preserve"> </w:t>
      </w:r>
      <w:r w:rsidRPr="000E6955">
        <w:rPr>
          <w:rFonts w:eastAsia="Calibri" w:cs="Arial"/>
          <w:szCs w:val="22"/>
          <w:lang w:eastAsia="en-US"/>
        </w:rPr>
        <w:t>le nombre d’actions de formation doit être en cohérence avec la répartition Femmes/ Hommes de l’effectif de l’Entreprise</w:t>
      </w:r>
      <w:r w:rsidR="001143E9" w:rsidRPr="000E6955">
        <w:rPr>
          <w:rFonts w:eastAsia="Calibri" w:cs="Arial"/>
          <w:szCs w:val="22"/>
          <w:lang w:eastAsia="en-US"/>
        </w:rPr>
        <w:t>.</w:t>
      </w:r>
    </w:p>
    <w:p w14:paraId="1C0A7B6D" w14:textId="31B88DD7" w:rsidR="000E231A" w:rsidRPr="000E6955" w:rsidRDefault="000E231A" w:rsidP="009E1426">
      <w:pPr>
        <w:tabs>
          <w:tab w:val="center" w:pos="4536"/>
          <w:tab w:val="right" w:pos="9072"/>
        </w:tabs>
        <w:spacing w:before="240"/>
        <w:rPr>
          <w:rFonts w:ascii="Helvetica" w:hAnsi="Helvetica" w:cs="Arial"/>
          <w:b/>
          <w:szCs w:val="22"/>
        </w:rPr>
      </w:pPr>
      <w:r w:rsidRPr="000E6955">
        <w:rPr>
          <w:rFonts w:ascii="Helvetica" w:hAnsi="Helvetica" w:cs="Arial"/>
          <w:b/>
          <w:szCs w:val="22"/>
        </w:rPr>
        <w:t>Indicateur</w:t>
      </w:r>
      <w:r w:rsidR="00854B02" w:rsidRPr="000E6955">
        <w:rPr>
          <w:rFonts w:ascii="Helvetica" w:hAnsi="Helvetica" w:cs="Arial"/>
          <w:b/>
          <w:szCs w:val="22"/>
        </w:rPr>
        <w:t>s</w:t>
      </w:r>
      <w:r w:rsidRPr="000E6955">
        <w:rPr>
          <w:rFonts w:ascii="Helvetica" w:hAnsi="Helvetica" w:cs="Arial"/>
          <w:b/>
          <w:szCs w:val="22"/>
        </w:rPr>
        <w:t xml:space="preserve"> de suivi :</w:t>
      </w:r>
    </w:p>
    <w:p w14:paraId="592DBDB1" w14:textId="7B1EB1C2" w:rsidR="000E231A" w:rsidRPr="000E6955" w:rsidRDefault="009E1426" w:rsidP="000E231A">
      <w:pPr>
        <w:numPr>
          <w:ilvl w:val="0"/>
          <w:numId w:val="2"/>
        </w:numPr>
        <w:rPr>
          <w:rFonts w:eastAsia="Calibri" w:cs="Arial"/>
          <w:b/>
          <w:szCs w:val="22"/>
          <w:lang w:eastAsia="en-US"/>
        </w:rPr>
      </w:pPr>
      <w:r w:rsidRPr="000E6955">
        <w:rPr>
          <w:rFonts w:eastAsia="Calibri" w:cs="Arial"/>
          <w:szCs w:val="22"/>
          <w:lang w:eastAsia="en-US"/>
        </w:rPr>
        <w:t xml:space="preserve">Le </w:t>
      </w:r>
      <w:r w:rsidR="000E231A" w:rsidRPr="000E6955">
        <w:rPr>
          <w:rFonts w:eastAsia="Calibri" w:cs="Arial"/>
          <w:szCs w:val="22"/>
          <w:lang w:eastAsia="en-US"/>
        </w:rPr>
        <w:t>pourcentage de collaborateurs formés / effectif</w:t>
      </w:r>
      <w:r>
        <w:rPr>
          <w:rFonts w:eastAsia="Calibri" w:cs="Arial"/>
          <w:szCs w:val="22"/>
          <w:lang w:eastAsia="en-US"/>
        </w:rPr>
        <w:t> ;</w:t>
      </w:r>
    </w:p>
    <w:p w14:paraId="4AD32743" w14:textId="2304027E" w:rsidR="000E231A" w:rsidRPr="000E6955" w:rsidRDefault="009E1426" w:rsidP="000E231A">
      <w:pPr>
        <w:numPr>
          <w:ilvl w:val="0"/>
          <w:numId w:val="2"/>
        </w:numPr>
        <w:rPr>
          <w:rFonts w:eastAsia="Calibri" w:cs="Arial"/>
          <w:szCs w:val="22"/>
          <w:lang w:eastAsia="en-US"/>
        </w:rPr>
      </w:pPr>
      <w:r w:rsidRPr="000E6955">
        <w:rPr>
          <w:rFonts w:eastAsia="Calibri" w:cs="Arial"/>
          <w:szCs w:val="22"/>
          <w:lang w:eastAsia="en-US"/>
        </w:rPr>
        <w:t xml:space="preserve">La </w:t>
      </w:r>
      <w:r w:rsidR="000E231A" w:rsidRPr="000E6955">
        <w:rPr>
          <w:rFonts w:eastAsia="Calibri" w:cs="Arial"/>
          <w:szCs w:val="22"/>
          <w:lang w:eastAsia="en-US"/>
        </w:rPr>
        <w:t xml:space="preserve">répartition des collaborateurs formés par catégorie </w:t>
      </w:r>
      <w:r w:rsidR="00C81A8C" w:rsidRPr="000E6955">
        <w:rPr>
          <w:rFonts w:eastAsia="Calibri" w:cs="Arial"/>
          <w:szCs w:val="22"/>
          <w:lang w:eastAsia="en-US"/>
        </w:rPr>
        <w:t>F</w:t>
      </w:r>
      <w:r w:rsidR="000E231A" w:rsidRPr="000E6955">
        <w:rPr>
          <w:rFonts w:eastAsia="Calibri" w:cs="Arial"/>
          <w:szCs w:val="22"/>
          <w:lang w:eastAsia="en-US"/>
        </w:rPr>
        <w:t>/</w:t>
      </w:r>
      <w:r w:rsidR="00C81A8C" w:rsidRPr="000E6955">
        <w:rPr>
          <w:rFonts w:eastAsia="Calibri" w:cs="Arial"/>
          <w:szCs w:val="22"/>
          <w:lang w:eastAsia="en-US"/>
        </w:rPr>
        <w:t>H</w:t>
      </w:r>
      <w:r>
        <w:rPr>
          <w:rFonts w:eastAsia="Calibri" w:cs="Arial"/>
          <w:szCs w:val="22"/>
          <w:lang w:eastAsia="en-US"/>
        </w:rPr>
        <w:t> ;</w:t>
      </w:r>
    </w:p>
    <w:p w14:paraId="798ABC86" w14:textId="56E20E57" w:rsidR="00B823FB" w:rsidRPr="000E6955" w:rsidRDefault="009E1426" w:rsidP="000E231A">
      <w:pPr>
        <w:numPr>
          <w:ilvl w:val="0"/>
          <w:numId w:val="2"/>
        </w:numPr>
        <w:rPr>
          <w:rFonts w:eastAsia="Calibri" w:cs="Arial"/>
          <w:szCs w:val="22"/>
          <w:lang w:eastAsia="en-US"/>
        </w:rPr>
      </w:pPr>
      <w:r w:rsidRPr="000E6955">
        <w:rPr>
          <w:rFonts w:eastAsia="Calibri" w:cs="Arial"/>
          <w:szCs w:val="22"/>
          <w:lang w:eastAsia="en-US"/>
        </w:rPr>
        <w:t xml:space="preserve">La </w:t>
      </w:r>
      <w:r w:rsidR="000E231A" w:rsidRPr="000E6955">
        <w:rPr>
          <w:rFonts w:eastAsia="Calibri" w:cs="Arial"/>
          <w:szCs w:val="22"/>
          <w:lang w:eastAsia="en-US"/>
        </w:rPr>
        <w:t>répartition des collaborateurs formés par thème</w:t>
      </w:r>
      <w:r>
        <w:rPr>
          <w:rFonts w:eastAsia="Calibri" w:cs="Arial"/>
          <w:szCs w:val="22"/>
          <w:lang w:eastAsia="en-US"/>
        </w:rPr>
        <w:t> ;</w:t>
      </w:r>
    </w:p>
    <w:p w14:paraId="219607C3" w14:textId="161568C6" w:rsidR="000E231A" w:rsidRPr="000E6955" w:rsidRDefault="009E1426" w:rsidP="000E231A">
      <w:pPr>
        <w:numPr>
          <w:ilvl w:val="0"/>
          <w:numId w:val="2"/>
        </w:numPr>
        <w:rPr>
          <w:rFonts w:eastAsia="Calibri" w:cs="Arial"/>
          <w:szCs w:val="22"/>
          <w:lang w:eastAsia="en-US"/>
        </w:rPr>
      </w:pPr>
      <w:r w:rsidRPr="000E6955">
        <w:rPr>
          <w:rFonts w:eastAsia="Calibri" w:cs="Arial"/>
          <w:szCs w:val="22"/>
          <w:lang w:eastAsia="en-US"/>
        </w:rPr>
        <w:t xml:space="preserve">La </w:t>
      </w:r>
      <w:r w:rsidR="00B823FB" w:rsidRPr="000E6955">
        <w:rPr>
          <w:rFonts w:eastAsia="Calibri" w:cs="Arial"/>
          <w:szCs w:val="22"/>
          <w:lang w:eastAsia="en-US"/>
        </w:rPr>
        <w:t>répartition des actions hors formation Sécurité</w:t>
      </w:r>
      <w:r w:rsidR="000E231A" w:rsidRPr="000E6955">
        <w:rPr>
          <w:rFonts w:eastAsia="Calibri" w:cs="Arial"/>
          <w:szCs w:val="22"/>
          <w:lang w:eastAsia="en-US"/>
        </w:rPr>
        <w:t>.</w:t>
      </w:r>
    </w:p>
    <w:p w14:paraId="0CFE2DB0" w14:textId="091CBE60" w:rsidR="00A27927" w:rsidRPr="000E6955" w:rsidRDefault="00A27927" w:rsidP="008D2AB9">
      <w:pPr>
        <w:pStyle w:val="CorpsTexteI10BT"/>
      </w:pPr>
    </w:p>
    <w:p w14:paraId="4827819E" w14:textId="547CAC90" w:rsidR="001A0794" w:rsidRPr="000E6955" w:rsidRDefault="001A0794" w:rsidP="001A0794">
      <w:pPr>
        <w:pStyle w:val="3"/>
      </w:pPr>
      <w:r w:rsidRPr="000E6955">
        <w:t xml:space="preserve">Le </w:t>
      </w:r>
      <w:r w:rsidR="00EF6848" w:rsidRPr="000E6955">
        <w:t>suivi individuel</w:t>
      </w:r>
    </w:p>
    <w:p w14:paraId="40D09518" w14:textId="1D51412D" w:rsidR="001A0794" w:rsidRPr="000E6955" w:rsidRDefault="001A0794" w:rsidP="001A0794">
      <w:pPr>
        <w:pStyle w:val="CorpsTexteI10BT"/>
      </w:pPr>
      <w:r w:rsidRPr="000E6955">
        <w:t xml:space="preserve">Au-delà de l’approche collective de développement des compétences, le sujet sera abordé de manière individuelle chaque année au cours des Entretiens Annuels d’Evaluation (EAE, </w:t>
      </w:r>
      <w:r w:rsidR="009E1426" w:rsidRPr="000E6955">
        <w:t>Cf</w:t>
      </w:r>
      <w:r w:rsidRPr="000E6955">
        <w:t xml:space="preserve">. infra article </w:t>
      </w:r>
      <w:r w:rsidR="009E1426">
        <w:fldChar w:fldCharType="begin"/>
      </w:r>
      <w:r w:rsidR="009E1426">
        <w:instrText xml:space="preserve"> REF _Ref122000292 \r \h </w:instrText>
      </w:r>
      <w:r w:rsidR="009E1426">
        <w:fldChar w:fldCharType="separate"/>
      </w:r>
      <w:r w:rsidR="009E1426">
        <w:t>4.2</w:t>
      </w:r>
      <w:r w:rsidR="009E1426">
        <w:fldChar w:fldCharType="end"/>
      </w:r>
      <w:r w:rsidRPr="000E6955">
        <w:t xml:space="preserve">) et l’Entretien Professionnel (EP, </w:t>
      </w:r>
      <w:r w:rsidR="009E1426" w:rsidRPr="000E6955">
        <w:t>Cf</w:t>
      </w:r>
      <w:r w:rsidRPr="000E6955">
        <w:t xml:space="preserve">. infra article </w:t>
      </w:r>
      <w:r w:rsidR="009E1426">
        <w:fldChar w:fldCharType="begin"/>
      </w:r>
      <w:r w:rsidR="009E1426">
        <w:instrText xml:space="preserve"> REF _Ref122000302 \r \h </w:instrText>
      </w:r>
      <w:r w:rsidR="009E1426">
        <w:fldChar w:fldCharType="separate"/>
      </w:r>
      <w:r w:rsidR="009E1426">
        <w:t>4.4</w:t>
      </w:r>
      <w:r w:rsidR="009E1426">
        <w:fldChar w:fldCharType="end"/>
      </w:r>
      <w:r w:rsidRPr="000E6955">
        <w:t>) afin à la foi</w:t>
      </w:r>
      <w:r w:rsidR="00556316" w:rsidRPr="000E6955">
        <w:t>s</w:t>
      </w:r>
      <w:r w:rsidRPr="000E6955">
        <w:t xml:space="preserve"> d’évaluer « à froid » les formations réalisées durant l’année écoulée et d’évoquer les besoins pour les années à venir.</w:t>
      </w:r>
    </w:p>
    <w:p w14:paraId="44C9BBF1" w14:textId="77777777" w:rsidR="001A0794" w:rsidRPr="000E6955" w:rsidRDefault="001A0794" w:rsidP="008D2AB9">
      <w:pPr>
        <w:pStyle w:val="CorpsTexteI10BT"/>
      </w:pPr>
    </w:p>
    <w:p w14:paraId="374E6F1B" w14:textId="0950E610" w:rsidR="006E24C1" w:rsidRPr="000E6955" w:rsidRDefault="006F66C5" w:rsidP="006E24C1">
      <w:pPr>
        <w:pStyle w:val="1"/>
      </w:pPr>
      <w:bookmarkStart w:id="52" w:name="_Toc122001649"/>
      <w:bookmarkStart w:id="53" w:name="_Hlk120713405"/>
      <w:r w:rsidRPr="000E6955">
        <w:t>Carriere</w:t>
      </w:r>
      <w:bookmarkEnd w:id="52"/>
    </w:p>
    <w:bookmarkEnd w:id="53"/>
    <w:p w14:paraId="588A8F1D" w14:textId="5CB48F65" w:rsidR="006A406B" w:rsidRPr="000E6955" w:rsidRDefault="006A406B" w:rsidP="006A406B">
      <w:pPr>
        <w:pStyle w:val="CorpsTexteI10BT"/>
      </w:pPr>
      <w:r w:rsidRPr="000E6955">
        <w:t>Le développement du collaborateur au sein de l’Entreprise est un enjeu primordial de la qualité de vie et des conditions de travail. Il permet à la fois à l’Entreprise de faire face à des enjeux technologiques de plus en plus nombreux en maintenant ses capacités d’innovations, et aux collaborateurs de développer leurs compétences et leur employabilité.</w:t>
      </w:r>
    </w:p>
    <w:p w14:paraId="1F114428" w14:textId="72528B63" w:rsidR="006A406B" w:rsidRPr="000E6955" w:rsidRDefault="006A406B" w:rsidP="009E1426">
      <w:pPr>
        <w:pStyle w:val="CorpsTexteI10BT"/>
        <w:spacing w:before="120"/>
      </w:pPr>
      <w:r w:rsidRPr="000E6955">
        <w:t>La gestion de carrière se fait selon 4 étapes successives, identifiées comme suit :</w:t>
      </w:r>
    </w:p>
    <w:p w14:paraId="1D5374EB" w14:textId="4CD3A0CC" w:rsidR="006A406B" w:rsidRPr="000E6955" w:rsidRDefault="00014ADC" w:rsidP="009E1426">
      <w:pPr>
        <w:pStyle w:val="CorpsTexteI10BT"/>
        <w:jc w:val="center"/>
      </w:pPr>
      <w:r w:rsidRPr="000E6955">
        <w:rPr>
          <w:noProof/>
          <w:lang w:eastAsia="fr-FR"/>
        </w:rPr>
        <w:drawing>
          <wp:inline distT="0" distB="0" distL="0" distR="0" wp14:anchorId="696A830C" wp14:editId="3A6842B3">
            <wp:extent cx="2489022" cy="2060448"/>
            <wp:effectExtent l="0" t="0" r="26035" b="0"/>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0CFC0002" w14:textId="77777777" w:rsidR="006A406B" w:rsidRPr="000E6955" w:rsidRDefault="006A406B" w:rsidP="006F66C5">
      <w:pPr>
        <w:pStyle w:val="CorpsTexteI10BT"/>
      </w:pPr>
    </w:p>
    <w:p w14:paraId="6AF6D3A9" w14:textId="5F509E1D" w:rsidR="006F66C5" w:rsidRPr="000E6955" w:rsidRDefault="006F66C5" w:rsidP="00717443">
      <w:pPr>
        <w:pStyle w:val="2"/>
      </w:pPr>
      <w:bookmarkStart w:id="54" w:name="_Toc122001650"/>
      <w:r w:rsidRPr="000E6955">
        <w:lastRenderedPageBreak/>
        <w:t>Recruter &amp; Intégrer</w:t>
      </w:r>
      <w:bookmarkEnd w:id="54"/>
    </w:p>
    <w:p w14:paraId="31169212" w14:textId="14DABDB1" w:rsidR="006A406B" w:rsidRPr="000E6955" w:rsidRDefault="00014ADC" w:rsidP="009E1426">
      <w:pPr>
        <w:pStyle w:val="CorpsTexteI10BT"/>
        <w:spacing w:before="120"/>
      </w:pPr>
      <w:r w:rsidRPr="000E6955">
        <w:t>La gestion de la carrière du collaborateur débute dès son recrutement et son intégration dans l’Entreprise. L’objectif de cet axe est d’attirer les meilleurs profils (recrutement), puis leur permettre de comprendre rapidement l’environnement Bertin (phase d’intégration : appropriation des process, du poste, etc.) dans une optique gagnant-gagnant.</w:t>
      </w:r>
    </w:p>
    <w:p w14:paraId="0A7E640D" w14:textId="21731D96" w:rsidR="005B48FC" w:rsidRPr="000E6955" w:rsidRDefault="00014ADC" w:rsidP="009E1426">
      <w:pPr>
        <w:pStyle w:val="CorpsTexteI10BT"/>
        <w:spacing w:before="120"/>
      </w:pPr>
      <w:r w:rsidRPr="000E6955">
        <w:t>Dès l’acceptation du candidat de la proposition d’embauche, les HRBP et/ou les chargés de recrutement veillent à la transmission des différents documents d’accompagnement du nouvel embauché (</w:t>
      </w:r>
      <w:r w:rsidR="00BB69DE" w:rsidRPr="000E6955">
        <w:t>fiche</w:t>
      </w:r>
      <w:r w:rsidRPr="000E6955">
        <w:t xml:space="preserve"> d’accueil, fiche d’intégration, etc.). Les HBRP et chargés de recrutement s’assurent également – en lien avec le manager – que le nouvel embauché prennent ses marques dans la société. Cela se fait notamment par le biais des actions suivantes</w:t>
      </w:r>
      <w:r w:rsidRPr="000E6955">
        <w:rPr>
          <w:rStyle w:val="ae"/>
        </w:rPr>
        <w:footnoteReference w:id="7"/>
      </w:r>
      <w:r w:rsidRPr="000E6955">
        <w:t xml:space="preserve"> : petits déjeuners d’intégration, </w:t>
      </w:r>
      <w:proofErr w:type="spellStart"/>
      <w:r w:rsidRPr="000E6955">
        <w:t>onboarding</w:t>
      </w:r>
      <w:proofErr w:type="spellEnd"/>
      <w:r w:rsidRPr="000E6955">
        <w:t xml:space="preserve"> </w:t>
      </w:r>
      <w:proofErr w:type="spellStart"/>
      <w:r w:rsidRPr="000E6955">
        <w:t>days</w:t>
      </w:r>
      <w:proofErr w:type="spellEnd"/>
      <w:r w:rsidRPr="000E6955">
        <w:t>, parrainage</w:t>
      </w:r>
      <w:r w:rsidR="005B48FC" w:rsidRPr="000E6955">
        <w:t>, etc.</w:t>
      </w:r>
    </w:p>
    <w:p w14:paraId="2D4F63A6" w14:textId="51799DE9" w:rsidR="006A406B" w:rsidRPr="000E6955" w:rsidRDefault="005B48FC" w:rsidP="009E1426">
      <w:pPr>
        <w:pStyle w:val="CorpsTexteI10BT"/>
        <w:spacing w:before="120"/>
      </w:pPr>
      <w:r w:rsidRPr="000E6955">
        <w:t xml:space="preserve">Les HRBP valideront notamment la bonne intégration du nouveau collaborateur grâce à un échange avec celui-ci dans le cadre d’un </w:t>
      </w:r>
      <w:r w:rsidR="00014ADC" w:rsidRPr="000E6955">
        <w:t>rapport d’étonnement.</w:t>
      </w:r>
      <w:r w:rsidRPr="000E6955">
        <w:t xml:space="preserve"> Les managers, quant à eux, seront également sollicités par les HRBP afin d’évaluer le collaborateur durant sa période d’essai, et vérifier notamment que le poste est bien en adéquation avec les attentes du collaborateur.</w:t>
      </w:r>
    </w:p>
    <w:p w14:paraId="59AEA4DB" w14:textId="2D2201F3" w:rsidR="006A406B" w:rsidRPr="000E6955" w:rsidRDefault="006A406B" w:rsidP="009E1426">
      <w:pPr>
        <w:suppressAutoHyphens w:val="0"/>
        <w:spacing w:before="240" w:after="160" w:line="259" w:lineRule="auto"/>
        <w:rPr>
          <w:rFonts w:ascii="Helvetica" w:hAnsi="Helvetica" w:cs="Arial"/>
          <w:szCs w:val="22"/>
        </w:rPr>
      </w:pPr>
      <w:r w:rsidRPr="000E6955">
        <w:rPr>
          <w:rFonts w:ascii="Helvetica" w:hAnsi="Helvetica" w:cs="Arial"/>
          <w:b/>
          <w:szCs w:val="22"/>
        </w:rPr>
        <w:t>Objectif :</w:t>
      </w:r>
      <w:r w:rsidRPr="000E6955">
        <w:rPr>
          <w:rFonts w:ascii="Helvetica" w:hAnsi="Helvetica" w:cs="Arial"/>
          <w:i/>
          <w:szCs w:val="22"/>
        </w:rPr>
        <w:t xml:space="preserve"> </w:t>
      </w:r>
      <w:r w:rsidR="00014ADC" w:rsidRPr="000E6955">
        <w:rPr>
          <w:rFonts w:eastAsia="Calibri" w:cs="Arial"/>
          <w:szCs w:val="22"/>
          <w:lang w:eastAsia="en-US"/>
        </w:rPr>
        <w:t>Attirer les meilleurs profils, leur permettre de comprendre rapidement l’environnement Bertin (appropriation des process, du poste, etc.) dans une optique gagnant-gagnant</w:t>
      </w:r>
      <w:r w:rsidR="00F30C85" w:rsidRPr="000E6955">
        <w:rPr>
          <w:rFonts w:eastAsia="Calibri" w:cs="Arial"/>
          <w:szCs w:val="22"/>
          <w:lang w:eastAsia="en-US"/>
        </w:rPr>
        <w:t>.</w:t>
      </w:r>
    </w:p>
    <w:p w14:paraId="77451DDA" w14:textId="3610274E" w:rsidR="006A406B" w:rsidRPr="000E6955" w:rsidRDefault="006A406B" w:rsidP="009E1426">
      <w:pPr>
        <w:tabs>
          <w:tab w:val="center" w:pos="4536"/>
          <w:tab w:val="right" w:pos="9072"/>
        </w:tabs>
        <w:spacing w:before="240"/>
        <w:rPr>
          <w:rFonts w:ascii="Helvetica" w:hAnsi="Helvetica" w:cs="Arial"/>
          <w:b/>
          <w:szCs w:val="22"/>
        </w:rPr>
      </w:pPr>
      <w:r w:rsidRPr="000E6955">
        <w:rPr>
          <w:rFonts w:ascii="Helvetica" w:hAnsi="Helvetica" w:cs="Arial"/>
          <w:b/>
          <w:szCs w:val="22"/>
        </w:rPr>
        <w:t>Indicateur</w:t>
      </w:r>
      <w:r w:rsidR="00985792" w:rsidRPr="000E6955">
        <w:rPr>
          <w:rFonts w:ascii="Helvetica" w:hAnsi="Helvetica" w:cs="Arial"/>
          <w:b/>
          <w:szCs w:val="22"/>
        </w:rPr>
        <w:t>s</w:t>
      </w:r>
      <w:r w:rsidRPr="000E6955">
        <w:rPr>
          <w:rFonts w:ascii="Helvetica" w:hAnsi="Helvetica" w:cs="Arial"/>
          <w:b/>
          <w:szCs w:val="22"/>
        </w:rPr>
        <w:t xml:space="preserve"> de suivi :</w:t>
      </w:r>
    </w:p>
    <w:p w14:paraId="31973812" w14:textId="521C62EE" w:rsidR="006A406B" w:rsidRPr="000E6955" w:rsidRDefault="006B606A" w:rsidP="006A406B">
      <w:pPr>
        <w:numPr>
          <w:ilvl w:val="0"/>
          <w:numId w:val="2"/>
        </w:numPr>
        <w:rPr>
          <w:rFonts w:eastAsia="Calibri" w:cs="Arial"/>
          <w:szCs w:val="22"/>
          <w:lang w:eastAsia="en-US"/>
        </w:rPr>
      </w:pPr>
      <w:r w:rsidRPr="000E6955">
        <w:rPr>
          <w:rFonts w:eastAsia="Calibri" w:cs="Arial"/>
          <w:szCs w:val="22"/>
          <w:lang w:eastAsia="en-US"/>
        </w:rPr>
        <w:t>n</w:t>
      </w:r>
      <w:r w:rsidR="00014ADC" w:rsidRPr="000E6955">
        <w:rPr>
          <w:rFonts w:eastAsia="Calibri" w:cs="Arial"/>
          <w:szCs w:val="22"/>
          <w:lang w:eastAsia="en-US"/>
        </w:rPr>
        <w:t>ombre de périodes d’essais validées,</w:t>
      </w:r>
    </w:p>
    <w:p w14:paraId="3A635C9A" w14:textId="53D38314" w:rsidR="00366D4A" w:rsidRPr="000E6955" w:rsidRDefault="00366D4A" w:rsidP="00366D4A">
      <w:pPr>
        <w:pStyle w:val="a"/>
      </w:pPr>
      <w:r w:rsidRPr="000E6955">
        <w:t>nombre de périodes d’essais non validées à l’initiative du collaborateur et de l’Entreprise</w:t>
      </w:r>
      <w:r w:rsidR="00EB1F2E" w:rsidRPr="000E6955">
        <w:t>,</w:t>
      </w:r>
    </w:p>
    <w:p w14:paraId="114ED865" w14:textId="745874E6" w:rsidR="006A406B" w:rsidRPr="000E6955" w:rsidRDefault="006B606A" w:rsidP="006A406B">
      <w:pPr>
        <w:numPr>
          <w:ilvl w:val="0"/>
          <w:numId w:val="2"/>
        </w:numPr>
        <w:rPr>
          <w:rFonts w:eastAsia="Calibri" w:cs="Arial"/>
          <w:szCs w:val="22"/>
          <w:lang w:eastAsia="en-US"/>
        </w:rPr>
      </w:pPr>
      <w:r w:rsidRPr="000E6955">
        <w:rPr>
          <w:rFonts w:eastAsia="Calibri" w:cs="Arial"/>
          <w:szCs w:val="22"/>
          <w:lang w:eastAsia="en-US"/>
        </w:rPr>
        <w:t>d</w:t>
      </w:r>
      <w:r w:rsidR="00014ADC" w:rsidRPr="000E6955">
        <w:rPr>
          <w:rFonts w:eastAsia="Calibri" w:cs="Arial"/>
          <w:szCs w:val="22"/>
          <w:lang w:eastAsia="en-US"/>
        </w:rPr>
        <w:t>éveloppement de l’alternance</w:t>
      </w:r>
      <w:r w:rsidR="00014ADC" w:rsidRPr="000E6955">
        <w:rPr>
          <w:rStyle w:val="ae"/>
          <w:rFonts w:eastAsia="Calibri" w:cs="Arial"/>
          <w:szCs w:val="22"/>
          <w:lang w:eastAsia="en-US"/>
        </w:rPr>
        <w:footnoteReference w:id="8"/>
      </w:r>
      <w:r w:rsidR="00EB1F2E" w:rsidRPr="000E6955">
        <w:rPr>
          <w:rFonts w:eastAsia="Calibri" w:cs="Arial"/>
          <w:szCs w:val="22"/>
          <w:lang w:eastAsia="en-US"/>
        </w:rPr>
        <w:t>.</w:t>
      </w:r>
    </w:p>
    <w:p w14:paraId="20C24E69" w14:textId="77777777" w:rsidR="006A406B" w:rsidRPr="000E6955" w:rsidRDefault="006A406B" w:rsidP="006A406B">
      <w:pPr>
        <w:pStyle w:val="CorpsTexteI10BT"/>
      </w:pPr>
    </w:p>
    <w:p w14:paraId="2BCA4266" w14:textId="6A853F0E" w:rsidR="002C65EE" w:rsidRPr="000E6955" w:rsidRDefault="00717443" w:rsidP="00717443">
      <w:pPr>
        <w:pStyle w:val="2"/>
      </w:pPr>
      <w:bookmarkStart w:id="55" w:name="_Ref122000292"/>
      <w:bookmarkStart w:id="56" w:name="_Ref122000632"/>
      <w:bookmarkStart w:id="57" w:name="_Toc122001651"/>
      <w:r w:rsidRPr="000E6955">
        <w:t>E</w:t>
      </w:r>
      <w:r w:rsidR="002C65EE" w:rsidRPr="000E6955">
        <w:t>valuer</w:t>
      </w:r>
      <w:bookmarkEnd w:id="55"/>
      <w:bookmarkEnd w:id="56"/>
      <w:bookmarkEnd w:id="57"/>
    </w:p>
    <w:p w14:paraId="4536265E" w14:textId="2C0FDF7B" w:rsidR="00FB310D" w:rsidRPr="000E6955" w:rsidRDefault="004563DB" w:rsidP="009E1426">
      <w:pPr>
        <w:pStyle w:val="CorpsTexteI10BT"/>
        <w:spacing w:before="120"/>
      </w:pPr>
      <w:r w:rsidRPr="000E6955">
        <w:t>Afin de v</w:t>
      </w:r>
      <w:r w:rsidR="00FB310D" w:rsidRPr="000E6955">
        <w:t>érifier l’adéquation des compétences du collaborateur par rapport aux attentes de son poste</w:t>
      </w:r>
      <w:r w:rsidRPr="000E6955">
        <w:t>, chaque collaborateur bénéficie d’un entretien annuel d’</w:t>
      </w:r>
      <w:r w:rsidR="00441E1B" w:rsidRPr="000E6955">
        <w:t>évaluation (EAE)</w:t>
      </w:r>
      <w:r w:rsidRPr="000E6955">
        <w:t>.</w:t>
      </w:r>
    </w:p>
    <w:p w14:paraId="083CD973" w14:textId="77777777" w:rsidR="001C095B" w:rsidRPr="000E6955" w:rsidRDefault="001C095B" w:rsidP="009E1426">
      <w:pPr>
        <w:pStyle w:val="CorpsTexteI10BT"/>
        <w:spacing w:before="120"/>
      </w:pPr>
      <w:r w:rsidRPr="000E6955">
        <w:t>La campagne d’EAE a lieu durant le premier trimestre de l’année et est lancée par mail auprès de l’ensemble des collaborateurs. Cette ouverture de campagne précise notamment :</w:t>
      </w:r>
    </w:p>
    <w:p w14:paraId="216EBF4F" w14:textId="6EAA417A" w:rsidR="001C095B" w:rsidRPr="000E6955" w:rsidRDefault="009E1426" w:rsidP="009E1426">
      <w:pPr>
        <w:pStyle w:val="a"/>
      </w:pPr>
      <w:r w:rsidRPr="000E6955">
        <w:t xml:space="preserve">Les </w:t>
      </w:r>
      <w:r w:rsidR="001C095B" w:rsidRPr="000E6955">
        <w:t>dates auxquelles devront avoir lieu les EAE</w:t>
      </w:r>
      <w:r>
        <w:t> ;</w:t>
      </w:r>
    </w:p>
    <w:p w14:paraId="30AE0BD2" w14:textId="212EDDBE" w:rsidR="001C095B" w:rsidRPr="000E6955" w:rsidRDefault="009E1426" w:rsidP="009E1426">
      <w:pPr>
        <w:pStyle w:val="a"/>
      </w:pPr>
      <w:r w:rsidRPr="000E6955">
        <w:t xml:space="preserve">Les </w:t>
      </w:r>
      <w:r w:rsidR="001C095B" w:rsidRPr="000E6955">
        <w:t>modalités de préparation et réalisation des EAE (guides collaborateurs et managers)</w:t>
      </w:r>
      <w:r>
        <w:t> ;</w:t>
      </w:r>
    </w:p>
    <w:p w14:paraId="20085421" w14:textId="7DD9A8DF" w:rsidR="001C095B" w:rsidRPr="000E6955" w:rsidRDefault="009E1426" w:rsidP="009E1426">
      <w:pPr>
        <w:pStyle w:val="a"/>
      </w:pPr>
      <w:r w:rsidRPr="000E6955">
        <w:t xml:space="preserve">Les </w:t>
      </w:r>
      <w:r w:rsidR="001C095B" w:rsidRPr="000E6955">
        <w:t>grandes étapes du workflow.</w:t>
      </w:r>
    </w:p>
    <w:p w14:paraId="07E1286A" w14:textId="2B84BF91" w:rsidR="001C095B" w:rsidRPr="000E6955" w:rsidRDefault="001C095B" w:rsidP="009E1426">
      <w:pPr>
        <w:pStyle w:val="CorpsTexteI10BT"/>
        <w:spacing w:before="240"/>
      </w:pPr>
      <w:r w:rsidRPr="000E6955">
        <w:t>L’EAE se réalisera via le module S</w:t>
      </w:r>
      <w:r w:rsidR="00826D2E" w:rsidRPr="000E6955">
        <w:t>KILLUP</w:t>
      </w:r>
      <w:r w:rsidRPr="000E6955">
        <w:t xml:space="preserve">, qui succède à la plateforme </w:t>
      </w:r>
      <w:proofErr w:type="spellStart"/>
      <w:r w:rsidRPr="000E6955">
        <w:t>Step</w:t>
      </w:r>
      <w:proofErr w:type="spellEnd"/>
      <w:r w:rsidRPr="000E6955">
        <w:t xml:space="preserve"> Inside. L’EAE donne lieu à la rédaction d’un document écrit dont une copie est remise au collaborateur selon les processus en place (workflow de validation numérique). Une copie papier sera remise aux collaborateurs ne possédant pas d’ordinateur.</w:t>
      </w:r>
    </w:p>
    <w:p w14:paraId="0996EC4A" w14:textId="5B838ED8" w:rsidR="004563DB" w:rsidRPr="000E6955" w:rsidRDefault="004563DB" w:rsidP="009E1426">
      <w:pPr>
        <w:pStyle w:val="CorpsTexteI10BT"/>
        <w:spacing w:before="240"/>
      </w:pPr>
      <w:r w:rsidRPr="000E6955">
        <w:t>C</w:t>
      </w:r>
      <w:r w:rsidR="00441E1B" w:rsidRPr="000E6955">
        <w:t>’est un</w:t>
      </w:r>
      <w:r w:rsidRPr="000E6955">
        <w:t xml:space="preserve"> exercice important dans la gestion de carrière des employés dans la mesure où il permet :</w:t>
      </w:r>
    </w:p>
    <w:p w14:paraId="41C72D86" w14:textId="54321F6E" w:rsidR="004563DB" w:rsidRPr="000E6955" w:rsidRDefault="009E1426" w:rsidP="009E1426">
      <w:pPr>
        <w:pStyle w:val="a"/>
      </w:pPr>
      <w:r w:rsidRPr="000E6955">
        <w:t xml:space="preserve">D’évaluer </w:t>
      </w:r>
      <w:r w:rsidR="004563DB" w:rsidRPr="000E6955">
        <w:t>l’atteinte des objectifs fixés pour l’année N-1</w:t>
      </w:r>
      <w:r w:rsidR="00D64F44" w:rsidRPr="000E6955">
        <w:t> ;</w:t>
      </w:r>
    </w:p>
    <w:p w14:paraId="56025697" w14:textId="76565FAD" w:rsidR="004563DB" w:rsidRPr="000E6955" w:rsidRDefault="009E1426" w:rsidP="009E1426">
      <w:pPr>
        <w:pStyle w:val="a"/>
      </w:pPr>
      <w:r w:rsidRPr="000E6955">
        <w:t xml:space="preserve">De </w:t>
      </w:r>
      <w:r w:rsidR="004563DB" w:rsidRPr="000E6955">
        <w:t>définir les objectifs pour l’année N ;</w:t>
      </w:r>
    </w:p>
    <w:p w14:paraId="4392FA4F" w14:textId="769FD6D0" w:rsidR="004563DB" w:rsidRPr="000E6955" w:rsidRDefault="009E1426" w:rsidP="009E1426">
      <w:pPr>
        <w:pStyle w:val="a"/>
      </w:pPr>
      <w:r w:rsidRPr="000E6955">
        <w:t xml:space="preserve">D’identifier </w:t>
      </w:r>
      <w:r w:rsidR="004563DB" w:rsidRPr="000E6955">
        <w:t>quelles sont les compétences acquises et les compétences qui restent à développer</w:t>
      </w:r>
      <w:r w:rsidR="00441E1B" w:rsidRPr="000E6955">
        <w:t> ;</w:t>
      </w:r>
    </w:p>
    <w:p w14:paraId="5FA9830B" w14:textId="2D96CB3A" w:rsidR="00441E1B" w:rsidRPr="000E6955" w:rsidRDefault="009E1426" w:rsidP="009E1426">
      <w:pPr>
        <w:pStyle w:val="a"/>
      </w:pPr>
      <w:r w:rsidRPr="000E6955">
        <w:t xml:space="preserve">D’évoquer </w:t>
      </w:r>
      <w:r w:rsidR="00441E1B" w:rsidRPr="000E6955">
        <w:t xml:space="preserve">– avec son manager – les besoins de formation associés aux besoins de compétences à développer/acquérir pour </w:t>
      </w:r>
      <w:r w:rsidR="0028633F" w:rsidRPr="000E6955">
        <w:t>progresser</w:t>
      </w:r>
      <w:r w:rsidR="00441E1B" w:rsidRPr="000E6955">
        <w:t xml:space="preserve"> dans son poste et/ou pour prétendre à d’autres fonctions.</w:t>
      </w:r>
    </w:p>
    <w:p w14:paraId="4094B5B7" w14:textId="233C2192" w:rsidR="00441E1B" w:rsidRPr="000E6955" w:rsidRDefault="001C095B" w:rsidP="009E1426">
      <w:pPr>
        <w:pStyle w:val="CorpsTexteI10BT"/>
        <w:spacing w:before="240"/>
      </w:pPr>
      <w:r w:rsidRPr="000E6955">
        <w:lastRenderedPageBreak/>
        <w:t>A l’issue de chaque campagne d’EAE, les HRBP lisent tous les formulaires recueillis, les analysent, et définissent – le cas échéant - des plans d’action individuels en lien avec les managers</w:t>
      </w:r>
      <w:r w:rsidR="00711E73" w:rsidRPr="000E6955">
        <w:t xml:space="preserve"> (cf. infra article 4.4.2)</w:t>
      </w:r>
      <w:r w:rsidRPr="000E6955">
        <w:t>.</w:t>
      </w:r>
    </w:p>
    <w:p w14:paraId="20D07005" w14:textId="51047166" w:rsidR="00FB310D" w:rsidRPr="000E6955" w:rsidRDefault="00441E1B" w:rsidP="009E1426">
      <w:pPr>
        <w:pStyle w:val="CorpsTexteI10BT"/>
        <w:spacing w:before="240"/>
      </w:pPr>
      <w:r w:rsidRPr="000E6955">
        <w:rPr>
          <w:b/>
        </w:rPr>
        <w:t>Objectif</w:t>
      </w:r>
      <w:r w:rsidR="00FB310D" w:rsidRPr="000E6955">
        <w:t xml:space="preserve"> : </w:t>
      </w:r>
      <w:r w:rsidRPr="000E6955">
        <w:t>Evaluer annuellement</w:t>
      </w:r>
      <w:r w:rsidR="00FB310D" w:rsidRPr="000E6955">
        <w:t xml:space="preserve"> les compétences et l’atteinte des objectifs des collaborateurs.</w:t>
      </w:r>
    </w:p>
    <w:p w14:paraId="498E1F39" w14:textId="1A87F5FE" w:rsidR="00441E1B" w:rsidRPr="000E6955" w:rsidRDefault="00441E1B" w:rsidP="009E1426">
      <w:pPr>
        <w:tabs>
          <w:tab w:val="center" w:pos="4536"/>
          <w:tab w:val="right" w:pos="9072"/>
        </w:tabs>
        <w:spacing w:before="240"/>
        <w:rPr>
          <w:rFonts w:ascii="Helvetica" w:hAnsi="Helvetica" w:cs="Arial"/>
          <w:b/>
          <w:szCs w:val="22"/>
        </w:rPr>
      </w:pPr>
      <w:r w:rsidRPr="000E6955">
        <w:rPr>
          <w:rFonts w:ascii="Helvetica" w:hAnsi="Helvetica" w:cs="Arial"/>
          <w:b/>
          <w:szCs w:val="22"/>
        </w:rPr>
        <w:t>Indicateur de suivi :</w:t>
      </w:r>
      <w:r w:rsidR="00D12C23" w:rsidRPr="000E6955">
        <w:rPr>
          <w:rFonts w:ascii="Helvetica" w:hAnsi="Helvetica" w:cs="Arial"/>
          <w:b/>
          <w:szCs w:val="22"/>
        </w:rPr>
        <w:t xml:space="preserve"> </w:t>
      </w:r>
      <w:r w:rsidR="006B606A" w:rsidRPr="000E6955">
        <w:rPr>
          <w:rFonts w:eastAsia="Calibri" w:cs="Arial"/>
          <w:szCs w:val="22"/>
          <w:lang w:eastAsia="en-US"/>
        </w:rPr>
        <w:t>n</w:t>
      </w:r>
      <w:r w:rsidRPr="000E6955">
        <w:rPr>
          <w:rFonts w:eastAsia="Calibri" w:cs="Arial"/>
          <w:szCs w:val="22"/>
          <w:lang w:eastAsia="en-US"/>
        </w:rPr>
        <w:t>ombre d’EAE effectué</w:t>
      </w:r>
      <w:r w:rsidR="00C80A65" w:rsidRPr="000E6955">
        <w:rPr>
          <w:rFonts w:eastAsia="Calibri" w:cs="Arial"/>
          <w:szCs w:val="22"/>
          <w:lang w:eastAsia="en-US"/>
        </w:rPr>
        <w:t>s</w:t>
      </w:r>
      <w:r w:rsidRPr="000E6955">
        <w:rPr>
          <w:rFonts w:eastAsia="Calibri" w:cs="Arial"/>
          <w:szCs w:val="22"/>
          <w:lang w:eastAsia="en-US"/>
        </w:rPr>
        <w:t xml:space="preserve"> chaque année.</w:t>
      </w:r>
    </w:p>
    <w:p w14:paraId="4F62D883" w14:textId="77777777" w:rsidR="00E714B7" w:rsidRPr="000E6955" w:rsidRDefault="00E714B7" w:rsidP="00E714B7">
      <w:pPr>
        <w:pStyle w:val="CorpsTexteI10BT"/>
      </w:pPr>
    </w:p>
    <w:p w14:paraId="5676CFC6" w14:textId="2FF3780B" w:rsidR="002C65EE" w:rsidRPr="000E6955" w:rsidRDefault="002C65EE" w:rsidP="00717443">
      <w:pPr>
        <w:pStyle w:val="2"/>
      </w:pPr>
      <w:bookmarkStart w:id="58" w:name="_Toc122001652"/>
      <w:r w:rsidRPr="000E6955">
        <w:t>Former &amp; Développer</w:t>
      </w:r>
      <w:bookmarkEnd w:id="58"/>
    </w:p>
    <w:p w14:paraId="78E52B81" w14:textId="48FDEC7A" w:rsidR="00015D59" w:rsidRPr="000E6955" w:rsidRDefault="00015D59" w:rsidP="00015D59">
      <w:pPr>
        <w:pStyle w:val="CorpsTexteI10BT"/>
      </w:pPr>
      <w:r w:rsidRPr="000E6955">
        <w:t xml:space="preserve">L’évolution de carrière des collaborateurs passent également par la formation professionnelle qui permet le développement des compétences. Chaque année, la </w:t>
      </w:r>
      <w:r w:rsidR="000B2328" w:rsidRPr="000E6955">
        <w:t xml:space="preserve">personne </w:t>
      </w:r>
      <w:r w:rsidRPr="000E6955">
        <w:t xml:space="preserve">chargée de </w:t>
      </w:r>
      <w:r w:rsidR="00562848" w:rsidRPr="000E6955">
        <w:t xml:space="preserve">la </w:t>
      </w:r>
      <w:r w:rsidRPr="000E6955">
        <w:t>formation – en relation avec les managers et les HRBP - définit et déploie le plan de développement des compétences</w:t>
      </w:r>
      <w:r w:rsidR="005C4997" w:rsidRPr="005C4997">
        <w:rPr>
          <w:rStyle w:val="ae"/>
        </w:rPr>
        <w:fldChar w:fldCharType="begin"/>
      </w:r>
      <w:r w:rsidR="005C4997" w:rsidRPr="005C4997">
        <w:rPr>
          <w:vertAlign w:val="superscript"/>
        </w:rPr>
        <w:instrText xml:space="preserve"> NOTEREF _Ref122000566 \h </w:instrText>
      </w:r>
      <w:r w:rsidR="005C4997" w:rsidRPr="005C4997">
        <w:rPr>
          <w:rStyle w:val="ae"/>
        </w:rPr>
        <w:instrText xml:space="preserve"> \* MERGEFORMAT </w:instrText>
      </w:r>
      <w:r w:rsidR="005C4997" w:rsidRPr="005C4997">
        <w:rPr>
          <w:rStyle w:val="ae"/>
        </w:rPr>
      </w:r>
      <w:r w:rsidR="005C4997" w:rsidRPr="005C4997">
        <w:rPr>
          <w:rStyle w:val="ae"/>
        </w:rPr>
        <w:fldChar w:fldCharType="separate"/>
      </w:r>
      <w:r w:rsidR="005C4997" w:rsidRPr="005C4997">
        <w:rPr>
          <w:vertAlign w:val="superscript"/>
        </w:rPr>
        <w:t>6</w:t>
      </w:r>
      <w:r w:rsidR="005C4997" w:rsidRPr="005C4997">
        <w:rPr>
          <w:rStyle w:val="ae"/>
        </w:rPr>
        <w:fldChar w:fldCharType="end"/>
      </w:r>
      <w:r w:rsidRPr="000E6955">
        <w:t xml:space="preserve"> alimenté par les besoins émis par les managers en lien avec leur collaborateur, et dans le respect des budgets impartis. Les Entretiens Professionnels</w:t>
      </w:r>
      <w:r w:rsidR="005C4997" w:rsidRPr="005C4997">
        <w:rPr>
          <w:rStyle w:val="ae"/>
        </w:rPr>
        <w:fldChar w:fldCharType="begin"/>
      </w:r>
      <w:r w:rsidR="005C4997" w:rsidRPr="005C4997">
        <w:rPr>
          <w:vertAlign w:val="superscript"/>
        </w:rPr>
        <w:instrText xml:space="preserve"> NOTEREF _Ref122000566 \h </w:instrText>
      </w:r>
      <w:r w:rsidR="005C4997" w:rsidRPr="005C4997">
        <w:rPr>
          <w:rStyle w:val="ae"/>
        </w:rPr>
        <w:instrText xml:space="preserve"> \* MERGEFORMAT </w:instrText>
      </w:r>
      <w:r w:rsidR="005C4997" w:rsidRPr="005C4997">
        <w:rPr>
          <w:rStyle w:val="ae"/>
        </w:rPr>
      </w:r>
      <w:r w:rsidR="005C4997" w:rsidRPr="005C4997">
        <w:rPr>
          <w:rStyle w:val="ae"/>
        </w:rPr>
        <w:fldChar w:fldCharType="separate"/>
      </w:r>
      <w:r w:rsidR="005C4997" w:rsidRPr="005C4997">
        <w:rPr>
          <w:vertAlign w:val="superscript"/>
        </w:rPr>
        <w:t>6</w:t>
      </w:r>
      <w:r w:rsidR="005C4997" w:rsidRPr="005C4997">
        <w:rPr>
          <w:rStyle w:val="ae"/>
        </w:rPr>
        <w:fldChar w:fldCharType="end"/>
      </w:r>
      <w:r w:rsidRPr="000E6955">
        <w:t xml:space="preserve"> et les Entretiens Annuels d’Evaluation</w:t>
      </w:r>
      <w:r w:rsidR="005C4997">
        <w:t xml:space="preserve"> (Cf. §</w:t>
      </w:r>
      <w:r w:rsidR="005C4997">
        <w:fldChar w:fldCharType="begin"/>
      </w:r>
      <w:r w:rsidR="005C4997">
        <w:instrText xml:space="preserve"> REF _Ref122000632 \r \h </w:instrText>
      </w:r>
      <w:r w:rsidR="005C4997">
        <w:fldChar w:fldCharType="separate"/>
      </w:r>
      <w:r w:rsidR="005C4997">
        <w:t>4.2</w:t>
      </w:r>
      <w:r w:rsidR="005C4997">
        <w:fldChar w:fldCharType="end"/>
      </w:r>
      <w:r w:rsidR="005C4997">
        <w:t>)</w:t>
      </w:r>
      <w:r w:rsidRPr="000E6955">
        <w:t xml:space="preserve"> permettent d’identifier les axes de développement souhaités par les collaborateurs, et permettent de développer la mobilité interne.</w:t>
      </w:r>
    </w:p>
    <w:p w14:paraId="73C3C5CD" w14:textId="4A243C84" w:rsidR="00015D59" w:rsidRPr="000E6955" w:rsidRDefault="00015D59" w:rsidP="009E1426">
      <w:pPr>
        <w:pStyle w:val="CorpsTexteI10BT"/>
        <w:spacing w:before="240"/>
      </w:pPr>
      <w:r w:rsidRPr="000E6955">
        <w:rPr>
          <w:b/>
        </w:rPr>
        <w:t>Objectif</w:t>
      </w:r>
      <w:r w:rsidR="005C4997">
        <w:rPr>
          <w:b/>
        </w:rPr>
        <w:t> </w:t>
      </w:r>
      <w:r w:rsidR="005C4997">
        <w:t>:</w:t>
      </w:r>
      <w:r w:rsidRPr="000E6955">
        <w:t xml:space="preserve"> Maintenir et développer le niveau de compétence technique des collaborateurs afin de leur permettre de répondre à nos enjeux d’excellence technologique, tout en développant leur employabilité.</w:t>
      </w:r>
    </w:p>
    <w:p w14:paraId="5C014BBD" w14:textId="1C26CCA7" w:rsidR="00015D59" w:rsidRPr="000E6955" w:rsidRDefault="00015D59" w:rsidP="009E1426">
      <w:pPr>
        <w:pStyle w:val="CorpsTexteI10BT"/>
        <w:spacing w:before="240"/>
        <w:rPr>
          <w:b/>
        </w:rPr>
      </w:pPr>
      <w:r w:rsidRPr="000E6955">
        <w:rPr>
          <w:b/>
        </w:rPr>
        <w:t>Indicateurs de suivi</w:t>
      </w:r>
      <w:r w:rsidR="005C4997">
        <w:rPr>
          <w:b/>
        </w:rPr>
        <w:t> :</w:t>
      </w:r>
    </w:p>
    <w:p w14:paraId="38C37AB6" w14:textId="79F73B5C" w:rsidR="00015D59" w:rsidRPr="000E6955" w:rsidRDefault="009E1426" w:rsidP="00015D59">
      <w:pPr>
        <w:numPr>
          <w:ilvl w:val="0"/>
          <w:numId w:val="2"/>
        </w:numPr>
      </w:pPr>
      <w:r w:rsidRPr="000E6955">
        <w:rPr>
          <w:rFonts w:eastAsia="Calibri" w:cs="Arial"/>
          <w:szCs w:val="22"/>
          <w:lang w:eastAsia="en-US"/>
        </w:rPr>
        <w:t xml:space="preserve">Nombre </w:t>
      </w:r>
      <w:r w:rsidR="00015D59" w:rsidRPr="000E6955">
        <w:rPr>
          <w:rFonts w:eastAsia="Calibri" w:cs="Arial"/>
          <w:szCs w:val="22"/>
          <w:lang w:eastAsia="en-US"/>
        </w:rPr>
        <w:t>d’entretiens professionnels réalisés</w:t>
      </w:r>
      <w:r>
        <w:rPr>
          <w:rFonts w:eastAsia="Calibri" w:cs="Arial"/>
          <w:szCs w:val="22"/>
          <w:lang w:eastAsia="en-US"/>
        </w:rPr>
        <w:t> ;</w:t>
      </w:r>
    </w:p>
    <w:p w14:paraId="3E4764EB" w14:textId="01AA486C" w:rsidR="00015D59" w:rsidRPr="000E6955" w:rsidRDefault="009E1426" w:rsidP="00015D59">
      <w:pPr>
        <w:numPr>
          <w:ilvl w:val="0"/>
          <w:numId w:val="2"/>
        </w:numPr>
      </w:pPr>
      <w:r w:rsidRPr="000E6955">
        <w:t xml:space="preserve">Nombre </w:t>
      </w:r>
      <w:r w:rsidR="00015D59" w:rsidRPr="000E6955">
        <w:t>d’actions / d’heures de formation réalisées.</w:t>
      </w:r>
    </w:p>
    <w:p w14:paraId="4962D80E" w14:textId="70076155" w:rsidR="002C65EE" w:rsidRPr="000E6955" w:rsidRDefault="002C65EE" w:rsidP="00717443">
      <w:pPr>
        <w:pStyle w:val="CorpsTexteI10BT"/>
      </w:pPr>
    </w:p>
    <w:p w14:paraId="662DE852" w14:textId="02631F2C" w:rsidR="002C65EE" w:rsidRPr="000E6955" w:rsidRDefault="002C65EE" w:rsidP="00717443">
      <w:pPr>
        <w:pStyle w:val="2"/>
      </w:pPr>
      <w:bookmarkStart w:id="59" w:name="_Ref122000190"/>
      <w:bookmarkStart w:id="60" w:name="_Ref122000302"/>
      <w:bookmarkStart w:id="61" w:name="_Toc122001653"/>
      <w:r w:rsidRPr="000E6955">
        <w:t>Evoluer</w:t>
      </w:r>
      <w:bookmarkEnd w:id="59"/>
      <w:bookmarkEnd w:id="60"/>
      <w:bookmarkEnd w:id="61"/>
    </w:p>
    <w:p w14:paraId="250CAC64" w14:textId="4976D011" w:rsidR="001C095B" w:rsidRPr="000E6955" w:rsidRDefault="001C095B" w:rsidP="001C095B">
      <w:pPr>
        <w:pStyle w:val="3"/>
      </w:pPr>
      <w:r w:rsidRPr="000E6955">
        <w:t>L’Entretien Professionnel</w:t>
      </w:r>
    </w:p>
    <w:p w14:paraId="0E4D0A7A" w14:textId="55B12BFD" w:rsidR="001C095B" w:rsidRPr="000E6955" w:rsidRDefault="001C095B" w:rsidP="009E1426">
      <w:pPr>
        <w:tabs>
          <w:tab w:val="center" w:pos="4536"/>
          <w:tab w:val="right" w:pos="9072"/>
        </w:tabs>
        <w:spacing w:before="120"/>
        <w:rPr>
          <w:rFonts w:cs="Arial"/>
          <w:szCs w:val="22"/>
        </w:rPr>
      </w:pPr>
      <w:r w:rsidRPr="000E6955">
        <w:rPr>
          <w:rFonts w:cs="Arial"/>
          <w:szCs w:val="22"/>
        </w:rPr>
        <w:t>Chaque collaborateur bénéficiera tous les ans d’un Entretien Professionnel avec son responsable hiérarchique afin d’évoquer avec lui ses perspectives d’évolution professionnelle, notamment en termes de qualifications et d’emploi. Cet entretien ne porte pas sur l’évaluation du travail du collaborateur et donne lieu à la rédaction d’un document écrit dont une copie est remise au collaborateur selon les processus en place (workflow de validation numérique). Une copie papier sera remise aux collaborateurs ne possédant pas un ordinateur.</w:t>
      </w:r>
    </w:p>
    <w:p w14:paraId="5B3BDB24" w14:textId="6103C471" w:rsidR="001C095B" w:rsidRPr="000E6955" w:rsidRDefault="001C095B" w:rsidP="009E1426">
      <w:pPr>
        <w:tabs>
          <w:tab w:val="center" w:pos="4536"/>
          <w:tab w:val="right" w:pos="9072"/>
        </w:tabs>
        <w:spacing w:before="120" w:after="0"/>
        <w:rPr>
          <w:rFonts w:cs="Arial"/>
          <w:szCs w:val="22"/>
        </w:rPr>
      </w:pPr>
      <w:r w:rsidRPr="000E6955">
        <w:rPr>
          <w:rFonts w:cs="Arial"/>
          <w:szCs w:val="22"/>
        </w:rPr>
        <w:t>Le cadre de l’Entretien Professionnel a été intégré au portail SKILLUP, et les modalités et conditions de celui-ci sont décrits dans l’environnement SKILLUP.</w:t>
      </w:r>
    </w:p>
    <w:p w14:paraId="5CD144D7" w14:textId="77777777" w:rsidR="001C095B" w:rsidRPr="000E6955" w:rsidRDefault="001C095B" w:rsidP="009E1426">
      <w:pPr>
        <w:tabs>
          <w:tab w:val="center" w:pos="4536"/>
          <w:tab w:val="right" w:pos="9072"/>
        </w:tabs>
        <w:spacing w:before="120"/>
        <w:rPr>
          <w:rFonts w:cs="Arial"/>
          <w:szCs w:val="22"/>
        </w:rPr>
      </w:pPr>
      <w:r w:rsidRPr="000E6955">
        <w:rPr>
          <w:rFonts w:cs="Arial"/>
          <w:szCs w:val="22"/>
        </w:rPr>
        <w:t>Un entretien systématique sera organisé avec tout collaborateur après une longue absence de l’Entreprise notamment à l’issue d’un congé de maternité ou d’adoption, de congé parental d’éducation, d’un congé sabbatique ou à l’issue d’un mandat syndical.</w:t>
      </w:r>
    </w:p>
    <w:p w14:paraId="4AA657E6" w14:textId="1BAB6E91" w:rsidR="001C095B" w:rsidRPr="000E6955" w:rsidRDefault="001C095B" w:rsidP="005C4997">
      <w:pPr>
        <w:keepNext/>
        <w:tabs>
          <w:tab w:val="center" w:pos="4536"/>
          <w:tab w:val="right" w:pos="9072"/>
        </w:tabs>
        <w:spacing w:before="120"/>
        <w:rPr>
          <w:rFonts w:cs="Arial"/>
          <w:szCs w:val="22"/>
        </w:rPr>
      </w:pPr>
      <w:r w:rsidRPr="000E6955">
        <w:rPr>
          <w:rFonts w:cs="Arial"/>
          <w:szCs w:val="22"/>
        </w:rPr>
        <w:t>Pour rappel : tous les six ans, l’Entretien Professionnel est un état des lieux récapitulatif du parcours professionnel du collaborateur. Cet état des lieux</w:t>
      </w:r>
      <w:r w:rsidR="004A567A" w:rsidRPr="000E6955">
        <w:rPr>
          <w:rFonts w:cs="Arial"/>
          <w:szCs w:val="22"/>
        </w:rPr>
        <w:t xml:space="preserve">, matérialisé par </w:t>
      </w:r>
      <w:r w:rsidRPr="000E6955">
        <w:rPr>
          <w:rFonts w:cs="Arial"/>
          <w:szCs w:val="22"/>
        </w:rPr>
        <w:t>la rédaction d’un document dont une copie est remise au collaborateur</w:t>
      </w:r>
      <w:r w:rsidR="004A567A" w:rsidRPr="000E6955">
        <w:rPr>
          <w:rFonts w:cs="Arial"/>
          <w:szCs w:val="22"/>
        </w:rPr>
        <w:t xml:space="preserve">, </w:t>
      </w:r>
      <w:r w:rsidRPr="000E6955">
        <w:rPr>
          <w:rFonts w:cs="Arial"/>
          <w:szCs w:val="22"/>
        </w:rPr>
        <w:t>permet de vérifier que le collaborateur a bénéficié au cours des six années des entretiens professionnels et d’apprécier s’il a :</w:t>
      </w:r>
    </w:p>
    <w:p w14:paraId="6A86F469" w14:textId="77777777" w:rsidR="001C095B" w:rsidRPr="000E6955" w:rsidRDefault="001C095B" w:rsidP="005C4997">
      <w:pPr>
        <w:pStyle w:val="a"/>
        <w:keepNext/>
      </w:pPr>
      <w:r w:rsidRPr="000E6955">
        <w:t>Suivi des actions de formation,</w:t>
      </w:r>
    </w:p>
    <w:p w14:paraId="565B4286" w14:textId="77777777" w:rsidR="001C095B" w:rsidRPr="000E6955" w:rsidRDefault="001C095B" w:rsidP="005C4997">
      <w:pPr>
        <w:pStyle w:val="a"/>
        <w:keepNext/>
      </w:pPr>
      <w:r w:rsidRPr="000E6955">
        <w:t>Acquis des éléments de certification, par la formation ou par une validation des acquis de son expérience (VAE)</w:t>
      </w:r>
    </w:p>
    <w:p w14:paraId="0613FB7B" w14:textId="77777777" w:rsidR="001C095B" w:rsidRPr="000E6955" w:rsidRDefault="001C095B" w:rsidP="005C4997">
      <w:pPr>
        <w:pStyle w:val="a"/>
        <w:keepNext/>
      </w:pPr>
      <w:r w:rsidRPr="000E6955">
        <w:t>Bénéficié d’une progression salariale ou professionnelle.</w:t>
      </w:r>
    </w:p>
    <w:p w14:paraId="47A34745" w14:textId="77777777" w:rsidR="001C095B" w:rsidRPr="000E6955" w:rsidRDefault="001C095B" w:rsidP="001C095B">
      <w:pPr>
        <w:pStyle w:val="CorpsTexteI10BT"/>
        <w:rPr>
          <w:lang w:eastAsia="fr-FR"/>
        </w:rPr>
      </w:pPr>
    </w:p>
    <w:p w14:paraId="2A42C6DF" w14:textId="3D6594AC" w:rsidR="00F701B4" w:rsidRPr="000E6955" w:rsidRDefault="001C095B" w:rsidP="001C095B">
      <w:pPr>
        <w:tabs>
          <w:tab w:val="center" w:pos="4536"/>
          <w:tab w:val="right" w:pos="9072"/>
        </w:tabs>
        <w:rPr>
          <w:rFonts w:cs="Arial"/>
          <w:szCs w:val="22"/>
        </w:rPr>
      </w:pPr>
      <w:r w:rsidRPr="000E6955">
        <w:rPr>
          <w:rFonts w:cs="Arial"/>
          <w:szCs w:val="22"/>
        </w:rPr>
        <w:lastRenderedPageBreak/>
        <w:t xml:space="preserve">La partie relative au </w:t>
      </w:r>
      <w:r w:rsidRPr="000E6955">
        <w:rPr>
          <w:rFonts w:cs="Arial"/>
          <w:b/>
          <w:szCs w:val="22"/>
        </w:rPr>
        <w:t>projet professionnel</w:t>
      </w:r>
      <w:r w:rsidRPr="000E6955">
        <w:rPr>
          <w:rFonts w:cs="Arial"/>
          <w:szCs w:val="22"/>
        </w:rPr>
        <w:t xml:space="preserve"> doit être décrite</w:t>
      </w:r>
      <w:r w:rsidR="00EF50AD" w:rsidRPr="000E6955">
        <w:rPr>
          <w:rFonts w:cs="Arial"/>
          <w:szCs w:val="22"/>
        </w:rPr>
        <w:t>, le cas échéant</w:t>
      </w:r>
      <w:r w:rsidRPr="000E6955">
        <w:rPr>
          <w:rFonts w:cs="Arial"/>
          <w:szCs w:val="22"/>
        </w:rPr>
        <w:t>.</w:t>
      </w:r>
    </w:p>
    <w:p w14:paraId="2642F180" w14:textId="3B15E63E" w:rsidR="001C095B" w:rsidRPr="000E6955" w:rsidRDefault="001C095B" w:rsidP="001C095B">
      <w:pPr>
        <w:tabs>
          <w:tab w:val="center" w:pos="4536"/>
          <w:tab w:val="right" w:pos="9072"/>
        </w:tabs>
        <w:rPr>
          <w:rFonts w:cs="Arial"/>
          <w:szCs w:val="22"/>
        </w:rPr>
      </w:pPr>
      <w:r w:rsidRPr="000E6955">
        <w:rPr>
          <w:rFonts w:cs="Arial"/>
          <w:szCs w:val="22"/>
        </w:rPr>
        <w:t>L’ambition de Bertin Technologies est la réalisation des volumes annuels suivants</w:t>
      </w:r>
      <w:r w:rsidR="005C4997">
        <w:rPr>
          <w:rFonts w:cs="Arial"/>
          <w:szCs w:val="22"/>
        </w:rPr>
        <w:t> :</w:t>
      </w:r>
      <w:r w:rsidRPr="000E6955">
        <w:rPr>
          <w:rFonts w:cs="Arial"/>
          <w:szCs w:val="22"/>
        </w:rPr>
        <w:t xml:space="preserve"> </w:t>
      </w:r>
    </w:p>
    <w:p w14:paraId="71377EA2" w14:textId="1EF6DF25" w:rsidR="001C095B" w:rsidRPr="000E6955" w:rsidRDefault="001C095B" w:rsidP="001C095B">
      <w:pPr>
        <w:numPr>
          <w:ilvl w:val="0"/>
          <w:numId w:val="2"/>
        </w:numPr>
        <w:rPr>
          <w:rFonts w:eastAsia="Calibri" w:cs="Arial"/>
          <w:szCs w:val="22"/>
          <w:lang w:eastAsia="en-US"/>
        </w:rPr>
      </w:pPr>
      <w:r w:rsidRPr="000E6955">
        <w:rPr>
          <w:rFonts w:eastAsia="Calibri" w:cs="Arial"/>
          <w:szCs w:val="22"/>
          <w:lang w:eastAsia="en-US"/>
        </w:rPr>
        <w:t>2023 : 50 %</w:t>
      </w:r>
      <w:r w:rsidR="005C4997">
        <w:rPr>
          <w:rFonts w:eastAsia="Calibri" w:cs="Arial"/>
          <w:szCs w:val="22"/>
          <w:lang w:eastAsia="en-US"/>
        </w:rPr>
        <w:t> ;</w:t>
      </w:r>
    </w:p>
    <w:p w14:paraId="79020376" w14:textId="1C2D8FAF" w:rsidR="001C095B" w:rsidRPr="000E6955" w:rsidRDefault="001C095B" w:rsidP="001C095B">
      <w:pPr>
        <w:numPr>
          <w:ilvl w:val="0"/>
          <w:numId w:val="2"/>
        </w:numPr>
        <w:rPr>
          <w:rFonts w:eastAsia="Calibri" w:cs="Arial"/>
          <w:szCs w:val="22"/>
          <w:lang w:eastAsia="en-US"/>
        </w:rPr>
      </w:pPr>
      <w:r w:rsidRPr="000E6955">
        <w:rPr>
          <w:rFonts w:eastAsia="Calibri" w:cs="Arial"/>
          <w:szCs w:val="22"/>
          <w:lang w:eastAsia="en-US"/>
        </w:rPr>
        <w:t>2024 : 75 %</w:t>
      </w:r>
      <w:r w:rsidR="005C4997">
        <w:rPr>
          <w:rFonts w:eastAsia="Calibri" w:cs="Arial"/>
          <w:szCs w:val="22"/>
          <w:lang w:eastAsia="en-US"/>
        </w:rPr>
        <w:t> ;</w:t>
      </w:r>
    </w:p>
    <w:p w14:paraId="5D4BB463" w14:textId="77777777" w:rsidR="001C095B" w:rsidRPr="000E6955" w:rsidRDefault="001C095B" w:rsidP="001C095B">
      <w:pPr>
        <w:numPr>
          <w:ilvl w:val="0"/>
          <w:numId w:val="2"/>
        </w:numPr>
        <w:rPr>
          <w:rFonts w:eastAsia="Calibri" w:cs="Arial"/>
          <w:szCs w:val="22"/>
          <w:lang w:eastAsia="en-US"/>
        </w:rPr>
      </w:pPr>
      <w:r w:rsidRPr="000E6955">
        <w:rPr>
          <w:rFonts w:eastAsia="Calibri" w:cs="Arial"/>
          <w:szCs w:val="22"/>
          <w:lang w:eastAsia="en-US"/>
        </w:rPr>
        <w:t>2025 : 100 %.</w:t>
      </w:r>
    </w:p>
    <w:p w14:paraId="00159CAF" w14:textId="6734E9EB" w:rsidR="001C095B" w:rsidRPr="000E6955" w:rsidRDefault="001C095B" w:rsidP="005C4997">
      <w:pPr>
        <w:tabs>
          <w:tab w:val="center" w:pos="426"/>
          <w:tab w:val="right" w:pos="9072"/>
        </w:tabs>
        <w:spacing w:before="240"/>
        <w:rPr>
          <w:rFonts w:cs="Arial"/>
          <w:i/>
          <w:szCs w:val="22"/>
        </w:rPr>
      </w:pPr>
      <w:r w:rsidRPr="000E6955">
        <w:rPr>
          <w:rFonts w:cs="Arial"/>
          <w:b/>
          <w:szCs w:val="22"/>
        </w:rPr>
        <w:t>Indicateur</w:t>
      </w:r>
      <w:r w:rsidR="00E714B7" w:rsidRPr="000E6955">
        <w:rPr>
          <w:rFonts w:cs="Arial"/>
          <w:b/>
          <w:szCs w:val="22"/>
        </w:rPr>
        <w:t>s</w:t>
      </w:r>
      <w:r w:rsidRPr="000E6955">
        <w:rPr>
          <w:rFonts w:cs="Arial"/>
          <w:b/>
          <w:szCs w:val="22"/>
        </w:rPr>
        <w:t xml:space="preserve"> de suivi :</w:t>
      </w:r>
      <w:r w:rsidRPr="000E6955">
        <w:rPr>
          <w:rFonts w:cs="Arial"/>
          <w:i/>
          <w:szCs w:val="22"/>
        </w:rPr>
        <w:t xml:space="preserve"> </w:t>
      </w:r>
    </w:p>
    <w:p w14:paraId="5828A3FD" w14:textId="7DD8A637" w:rsidR="001C095B" w:rsidRPr="000E6955" w:rsidRDefault="005C4997" w:rsidP="001C095B">
      <w:pPr>
        <w:numPr>
          <w:ilvl w:val="0"/>
          <w:numId w:val="2"/>
        </w:numPr>
        <w:rPr>
          <w:rFonts w:cs="Arial"/>
          <w:szCs w:val="22"/>
        </w:rPr>
      </w:pPr>
      <w:r w:rsidRPr="000E6955">
        <w:rPr>
          <w:rFonts w:cs="Arial"/>
          <w:szCs w:val="22"/>
        </w:rPr>
        <w:t xml:space="preserve">Nombre </w:t>
      </w:r>
      <w:r w:rsidR="001C095B" w:rsidRPr="000E6955">
        <w:rPr>
          <w:rFonts w:cs="Arial"/>
          <w:szCs w:val="22"/>
        </w:rPr>
        <w:t>d’entretiens réalisés et finalisés sur la période</w:t>
      </w:r>
      <w:r>
        <w:rPr>
          <w:rFonts w:cs="Arial"/>
          <w:szCs w:val="22"/>
        </w:rPr>
        <w:t> ;</w:t>
      </w:r>
    </w:p>
    <w:p w14:paraId="1F0C8CEF" w14:textId="34CA3745" w:rsidR="001C095B" w:rsidRPr="000E6955" w:rsidRDefault="005C4997" w:rsidP="001C095B">
      <w:pPr>
        <w:pStyle w:val="a"/>
      </w:pPr>
      <w:r w:rsidRPr="000E6955">
        <w:t xml:space="preserve">Nombre </w:t>
      </w:r>
      <w:r w:rsidR="001C095B" w:rsidRPr="000E6955">
        <w:t>de collaborateurs qui n’ont pas eu d’EP depuis les 2 dernières années</w:t>
      </w:r>
      <w:r>
        <w:t> ;</w:t>
      </w:r>
    </w:p>
    <w:p w14:paraId="3F876279" w14:textId="4CB72769" w:rsidR="001C095B" w:rsidRPr="000E6955" w:rsidRDefault="005C4997" w:rsidP="001C095B">
      <w:pPr>
        <w:pStyle w:val="a"/>
      </w:pPr>
      <w:r w:rsidRPr="000E6955">
        <w:t xml:space="preserve">Nombre </w:t>
      </w:r>
      <w:r w:rsidR="001C095B" w:rsidRPr="000E6955">
        <w:t>de collaborateurs qui n’ont pas eu d’EP depuis les 3 dernières années</w:t>
      </w:r>
      <w:r>
        <w:t>.</w:t>
      </w:r>
    </w:p>
    <w:p w14:paraId="62F68D0F" w14:textId="77777777" w:rsidR="001C095B" w:rsidRPr="000E6955" w:rsidRDefault="001C095B" w:rsidP="001C095B">
      <w:pPr>
        <w:pStyle w:val="CorpsTexteI10BT"/>
        <w:rPr>
          <w:lang w:eastAsia="fr-FR"/>
        </w:rPr>
      </w:pPr>
    </w:p>
    <w:p w14:paraId="6BD246EB" w14:textId="1C0C002A" w:rsidR="001C095B" w:rsidRPr="000E6955" w:rsidRDefault="001C095B" w:rsidP="001C095B">
      <w:pPr>
        <w:pStyle w:val="3"/>
        <w:numPr>
          <w:ilvl w:val="0"/>
          <w:numId w:val="0"/>
        </w:numPr>
      </w:pPr>
      <w:r w:rsidRPr="000E6955">
        <w:t xml:space="preserve">4.4.2 Les Peoples </w:t>
      </w:r>
      <w:r w:rsidR="00F16D37" w:rsidRPr="000E6955">
        <w:t xml:space="preserve">Position </w:t>
      </w:r>
      <w:proofErr w:type="spellStart"/>
      <w:r w:rsidRPr="000E6955">
        <w:t>Review</w:t>
      </w:r>
      <w:proofErr w:type="spellEnd"/>
      <w:r w:rsidR="00F16D37" w:rsidRPr="000E6955">
        <w:t xml:space="preserve"> (PPR)</w:t>
      </w:r>
    </w:p>
    <w:p w14:paraId="41C05F5C" w14:textId="6A278611" w:rsidR="001C095B" w:rsidRPr="000E6955" w:rsidRDefault="001C095B" w:rsidP="005C4997">
      <w:pPr>
        <w:pStyle w:val="CorpsTexteI10BT"/>
        <w:spacing w:before="120"/>
        <w:rPr>
          <w:lang w:eastAsia="fr-FR"/>
        </w:rPr>
      </w:pPr>
      <w:r w:rsidRPr="000E6955">
        <w:rPr>
          <w:lang w:eastAsia="fr-FR"/>
        </w:rPr>
        <w:t xml:space="preserve">Les perspectives d’évolution des collaborateurs au sein de l’Entreprise sont également discutées lors des revues du personnel (People </w:t>
      </w:r>
      <w:r w:rsidR="00F16D37" w:rsidRPr="000E6955">
        <w:rPr>
          <w:lang w:eastAsia="fr-FR"/>
        </w:rPr>
        <w:t xml:space="preserve">Position </w:t>
      </w:r>
      <w:proofErr w:type="spellStart"/>
      <w:r w:rsidRPr="000E6955">
        <w:rPr>
          <w:lang w:eastAsia="fr-FR"/>
        </w:rPr>
        <w:t>Review</w:t>
      </w:r>
      <w:proofErr w:type="spellEnd"/>
      <w:r w:rsidR="00F16D37" w:rsidRPr="000E6955">
        <w:rPr>
          <w:lang w:eastAsia="fr-FR"/>
        </w:rPr>
        <w:t xml:space="preserve"> ou PPR</w:t>
      </w:r>
      <w:r w:rsidRPr="000E6955">
        <w:rPr>
          <w:lang w:eastAsia="fr-FR"/>
        </w:rPr>
        <w:t>) chaque année.</w:t>
      </w:r>
    </w:p>
    <w:p w14:paraId="6DED37FA" w14:textId="69C48F40" w:rsidR="001C095B" w:rsidRPr="000E6955" w:rsidRDefault="001C095B" w:rsidP="005C4997">
      <w:pPr>
        <w:pStyle w:val="CorpsTexteI10BT"/>
        <w:spacing w:before="120"/>
      </w:pPr>
      <w:r w:rsidRPr="000E6955">
        <w:t xml:space="preserve">Les People </w:t>
      </w:r>
      <w:r w:rsidR="00F03306" w:rsidRPr="000E6955">
        <w:t xml:space="preserve">Position </w:t>
      </w:r>
      <w:proofErr w:type="spellStart"/>
      <w:r w:rsidRPr="000E6955">
        <w:t>Review</w:t>
      </w:r>
      <w:proofErr w:type="spellEnd"/>
      <w:r w:rsidRPr="000E6955">
        <w:t xml:space="preserve"> sont un outil de pilotage de la performance et des évolutions, qui s’appuient sur le contenu de l’EAE et de l’EP.</w:t>
      </w:r>
    </w:p>
    <w:p w14:paraId="718C7D15" w14:textId="73426031" w:rsidR="001C095B" w:rsidRPr="000E6955" w:rsidRDefault="001C095B" w:rsidP="005C4997">
      <w:pPr>
        <w:pStyle w:val="CorpsTexteI10BT"/>
        <w:spacing w:before="120"/>
        <w:rPr>
          <w:lang w:eastAsia="fr-FR"/>
        </w:rPr>
      </w:pPr>
      <w:r w:rsidRPr="000E6955">
        <w:rPr>
          <w:lang w:eastAsia="fr-FR"/>
        </w:rPr>
        <w:t>Il s’agit d’un temps d’échanges entre les managers et le service RH, durant lequel la performance et le potentiel de chaque collaborateur s</w:t>
      </w:r>
      <w:r w:rsidR="002C3BB4" w:rsidRPr="000E6955">
        <w:rPr>
          <w:lang w:eastAsia="fr-FR"/>
        </w:rPr>
        <w:t>on</w:t>
      </w:r>
      <w:r w:rsidRPr="000E6955">
        <w:rPr>
          <w:lang w:eastAsia="fr-FR"/>
        </w:rPr>
        <w:t>t discuté</w:t>
      </w:r>
      <w:r w:rsidR="002C3BB4" w:rsidRPr="000E6955">
        <w:rPr>
          <w:lang w:eastAsia="fr-FR"/>
        </w:rPr>
        <w:t>s</w:t>
      </w:r>
      <w:r w:rsidRPr="000E6955">
        <w:rPr>
          <w:lang w:eastAsia="fr-FR"/>
        </w:rPr>
        <w:t>, dans le but d’identifier :</w:t>
      </w:r>
    </w:p>
    <w:p w14:paraId="35A7846B" w14:textId="6C94E9C1" w:rsidR="001C095B" w:rsidRPr="000E6955" w:rsidRDefault="005C4997" w:rsidP="005C4997">
      <w:pPr>
        <w:pStyle w:val="a"/>
      </w:pPr>
      <w:r w:rsidRPr="000E6955">
        <w:t xml:space="preserve">Les </w:t>
      </w:r>
      <w:r w:rsidR="001C095B" w:rsidRPr="000E6955">
        <w:t>évolutions et leur délai de mise en œuvre (court/moyen/long terme)</w:t>
      </w:r>
      <w:r>
        <w:t> ;</w:t>
      </w:r>
    </w:p>
    <w:p w14:paraId="768FC506" w14:textId="091A62A1" w:rsidR="001C095B" w:rsidRPr="000E6955" w:rsidRDefault="005C4997" w:rsidP="005C4997">
      <w:pPr>
        <w:pStyle w:val="a"/>
      </w:pPr>
      <w:r w:rsidRPr="000E6955">
        <w:t xml:space="preserve">Les </w:t>
      </w:r>
      <w:r w:rsidR="001C095B" w:rsidRPr="000E6955">
        <w:t>difficultés et plan d’amélioration de la performance à mettre en œuvre le cas échéant</w:t>
      </w:r>
      <w:r>
        <w:t> ;</w:t>
      </w:r>
    </w:p>
    <w:p w14:paraId="04867450" w14:textId="1F103C6A" w:rsidR="001C095B" w:rsidRPr="000E6955" w:rsidRDefault="005C4997" w:rsidP="005C4997">
      <w:pPr>
        <w:pStyle w:val="a"/>
      </w:pPr>
      <w:r w:rsidRPr="000E6955">
        <w:t xml:space="preserve">Les </w:t>
      </w:r>
      <w:r w:rsidR="001C095B" w:rsidRPr="000E6955">
        <w:t>risques</w:t>
      </w:r>
      <w:r w:rsidR="003648D7" w:rsidRPr="000E6955">
        <w:t xml:space="preserve"> potentiels</w:t>
      </w:r>
      <w:r w:rsidR="001C095B" w:rsidRPr="000E6955">
        <w:t xml:space="preserve"> de départ</w:t>
      </w:r>
      <w:r>
        <w:t> ;</w:t>
      </w:r>
    </w:p>
    <w:p w14:paraId="3528E1BA" w14:textId="35CA30A3" w:rsidR="001C095B" w:rsidRPr="000E6955" w:rsidRDefault="005C4997" w:rsidP="005C4997">
      <w:pPr>
        <w:pStyle w:val="a"/>
      </w:pPr>
      <w:r w:rsidRPr="000E6955">
        <w:t xml:space="preserve">Les </w:t>
      </w:r>
      <w:r w:rsidR="001C095B" w:rsidRPr="000E6955">
        <w:t>plans de succession / transmission su savoir en cas de départ de collaborateurs.</w:t>
      </w:r>
    </w:p>
    <w:p w14:paraId="4D2C1BFB" w14:textId="7DAEAAB0" w:rsidR="001C095B" w:rsidRPr="000E6955" w:rsidRDefault="001C095B" w:rsidP="005C4997">
      <w:pPr>
        <w:pStyle w:val="CorpsTexteI10BT"/>
        <w:spacing w:before="240"/>
      </w:pPr>
      <w:r w:rsidRPr="000E6955">
        <w:rPr>
          <w:b/>
        </w:rPr>
        <w:t>Objectif</w:t>
      </w:r>
      <w:r w:rsidR="005C4997">
        <w:rPr>
          <w:b/>
        </w:rPr>
        <w:t> :</w:t>
      </w:r>
      <w:r w:rsidRPr="000E6955">
        <w:t xml:space="preserve"> Permettre aux collaborateurs de mettre à profit les compétences acquises tout en répondant à des évolutions d’organisations/besoins internes, en stimulant leurs intérêts et conservant leur motivation.</w:t>
      </w:r>
    </w:p>
    <w:p w14:paraId="49044A2D" w14:textId="76BE4D76" w:rsidR="001C095B" w:rsidRPr="000E6955" w:rsidRDefault="001C095B" w:rsidP="005C4997">
      <w:pPr>
        <w:pStyle w:val="CorpsTexteI10BT"/>
        <w:spacing w:before="240"/>
        <w:rPr>
          <w:b/>
        </w:rPr>
      </w:pPr>
      <w:r w:rsidRPr="000E6955">
        <w:rPr>
          <w:b/>
        </w:rPr>
        <w:t>Indicateurs de suivi</w:t>
      </w:r>
      <w:r w:rsidR="005C4997">
        <w:rPr>
          <w:b/>
        </w:rPr>
        <w:t> :</w:t>
      </w:r>
    </w:p>
    <w:p w14:paraId="449E7A30" w14:textId="119AFDF1" w:rsidR="001C095B" w:rsidRPr="000E6955" w:rsidRDefault="005C4997" w:rsidP="001C095B">
      <w:pPr>
        <w:numPr>
          <w:ilvl w:val="0"/>
          <w:numId w:val="2"/>
        </w:numPr>
      </w:pPr>
      <w:r w:rsidRPr="000E6955">
        <w:t xml:space="preserve">Nombre </w:t>
      </w:r>
      <w:r w:rsidR="001C095B" w:rsidRPr="000E6955">
        <w:t>de mobilités internes effectuées</w:t>
      </w:r>
      <w:r>
        <w:t> ;</w:t>
      </w:r>
    </w:p>
    <w:p w14:paraId="0EC2551D" w14:textId="7057B6B7" w:rsidR="001C095B" w:rsidRPr="000E6955" w:rsidRDefault="005C4997" w:rsidP="001C095B">
      <w:pPr>
        <w:numPr>
          <w:ilvl w:val="0"/>
          <w:numId w:val="2"/>
        </w:numPr>
      </w:pPr>
      <w:r w:rsidRPr="000E6955">
        <w:t xml:space="preserve">Nombre </w:t>
      </w:r>
      <w:r w:rsidR="001C095B" w:rsidRPr="000E6955">
        <w:t>d’e</w:t>
      </w:r>
      <w:r w:rsidR="00FB0B5F" w:rsidRPr="000E6955">
        <w:t>ntretiens de sortie</w:t>
      </w:r>
      <w:r w:rsidR="001C095B" w:rsidRPr="000E6955">
        <w:t xml:space="preserve"> réalisés (évolution en externe).</w:t>
      </w:r>
    </w:p>
    <w:p w14:paraId="77023992" w14:textId="0CE78148" w:rsidR="002641DE" w:rsidRPr="000E6955" w:rsidRDefault="00802995" w:rsidP="005C4997">
      <w:pPr>
        <w:pStyle w:val="1"/>
        <w:pageBreakBefore/>
      </w:pPr>
      <w:bookmarkStart w:id="62" w:name="_Toc122001654"/>
      <w:r w:rsidRPr="000E6955">
        <w:lastRenderedPageBreak/>
        <w:t>SUIVI / PILOTAGE DE L’ACCORD</w:t>
      </w:r>
      <w:bookmarkEnd w:id="62"/>
    </w:p>
    <w:p w14:paraId="28576726" w14:textId="585A6839" w:rsidR="00C71B75" w:rsidRPr="000E6955" w:rsidRDefault="00990097" w:rsidP="005C4997">
      <w:pPr>
        <w:pStyle w:val="CorpsTexteI10BT"/>
        <w:spacing w:before="120"/>
      </w:pPr>
      <w:r w:rsidRPr="000E6955">
        <w:t>Au-delà</w:t>
      </w:r>
      <w:r w:rsidR="00C97911" w:rsidRPr="000E6955">
        <w:t xml:space="preserve"> des informations destinées à la Commission Egalité Professionnelle F/H du CSE, les parties entendent organiser un suivi spécifique du présent accord en instituant </w:t>
      </w:r>
      <w:r w:rsidR="00845B99" w:rsidRPr="000E6955">
        <w:t>la</w:t>
      </w:r>
      <w:r w:rsidR="00C97911" w:rsidRPr="000E6955">
        <w:t xml:space="preserve"> Commission </w:t>
      </w:r>
      <w:r w:rsidR="00207C61" w:rsidRPr="000E6955">
        <w:t xml:space="preserve">QVCT </w:t>
      </w:r>
      <w:r w:rsidR="00C97911" w:rsidRPr="000E6955">
        <w:t>qui se substituera à l’Observatoire de la Prévention Harcèlement, Discrimination et Stress.</w:t>
      </w:r>
    </w:p>
    <w:p w14:paraId="308BF0CB" w14:textId="11FCC9F9" w:rsidR="006F69C4" w:rsidRPr="000E6955" w:rsidRDefault="006F69C4" w:rsidP="005C4997">
      <w:pPr>
        <w:pStyle w:val="CorpsTexteI10BT"/>
        <w:spacing w:before="120"/>
      </w:pPr>
      <w:r w:rsidRPr="000E6955">
        <w:t>Celle-ci sera composée des Délégués Syndicaux de l’Entreprise, du Secrétaire de la Commission centrale Santé, Sécurité et Conditions de Travail</w:t>
      </w:r>
      <w:r w:rsidR="00A42F63" w:rsidRPr="000E6955">
        <w:t xml:space="preserve"> (CCSSCT)</w:t>
      </w:r>
      <w:r w:rsidR="00873946" w:rsidRPr="000E6955">
        <w:t xml:space="preserve"> du CSE, du Référent Harcèlement Sexuel du CSE, du Responsable RH et du Responsable des Relations Sociales. En outre, des invités pourront être conviés en fonction des sujets.</w:t>
      </w:r>
    </w:p>
    <w:p w14:paraId="6864C257" w14:textId="45F60843" w:rsidR="00873946" w:rsidRPr="000E6955" w:rsidRDefault="00873946" w:rsidP="005C4997">
      <w:pPr>
        <w:pStyle w:val="CorpsTexteI10BT"/>
        <w:spacing w:before="120"/>
      </w:pPr>
      <w:r w:rsidRPr="000E6955">
        <w:t>Elle se réunira de manière ordinaire tous les ans afin d’examiner le bilan de l’année écoulée</w:t>
      </w:r>
      <w:r w:rsidR="00391731" w:rsidRPr="000E6955">
        <w:rPr>
          <w:rStyle w:val="ae"/>
        </w:rPr>
        <w:footnoteReference w:id="9"/>
      </w:r>
      <w:r w:rsidRPr="000E6955">
        <w:t xml:space="preserve"> de cet accord, au cours </w:t>
      </w:r>
      <w:r w:rsidR="00FA7C03" w:rsidRPr="000E6955">
        <w:t>des mois de juin-juillet</w:t>
      </w:r>
      <w:r w:rsidRPr="000E6955">
        <w:t xml:space="preserve"> de l’année suivante.</w:t>
      </w:r>
      <w:r w:rsidR="00412FB7" w:rsidRPr="000E6955">
        <w:t xml:space="preserve"> Pour l’année 2023, cette Commission examinera les indicateurs de l’accord pour l’exercice 2022, à titre de point de départ.</w:t>
      </w:r>
    </w:p>
    <w:p w14:paraId="51E84BB0" w14:textId="67F3B5F8" w:rsidR="00873946" w:rsidRPr="000E6955" w:rsidRDefault="00873946" w:rsidP="005C4997">
      <w:pPr>
        <w:pStyle w:val="CorpsTexteI10BT"/>
        <w:spacing w:before="120"/>
      </w:pPr>
      <w:r w:rsidRPr="000E6955">
        <w:t xml:space="preserve">En outre, cette Commission pourra être réunie da manière extraordinaire, à la demande de la Direction ou de la totalité de ses membres </w:t>
      </w:r>
      <w:r w:rsidR="00A54CA0" w:rsidRPr="000E6955">
        <w:t xml:space="preserve">représentants </w:t>
      </w:r>
      <w:r w:rsidR="00391731" w:rsidRPr="000E6955">
        <w:t>l</w:t>
      </w:r>
      <w:r w:rsidR="000A2509" w:rsidRPr="000E6955">
        <w:t>es salariés</w:t>
      </w:r>
      <w:r w:rsidR="00391731" w:rsidRPr="000E6955">
        <w:t>, en cas de situation spécifique nécessitant un suivi particulier.</w:t>
      </w:r>
    </w:p>
    <w:p w14:paraId="150E4055" w14:textId="6DFEFCD7" w:rsidR="00324AA4" w:rsidRPr="000E6955" w:rsidRDefault="00324AA4" w:rsidP="005C4997">
      <w:pPr>
        <w:spacing w:before="240" w:after="240"/>
        <w:ind w:right="726"/>
        <w:rPr>
          <w:rFonts w:cs="Arial"/>
          <w:szCs w:val="22"/>
        </w:rPr>
      </w:pPr>
      <w:r w:rsidRPr="000E6955">
        <w:rPr>
          <w:rFonts w:cs="Arial"/>
          <w:b/>
          <w:szCs w:val="22"/>
        </w:rPr>
        <w:t>Récapitulatif des actions / indicateurs spécifiques :</w:t>
      </w:r>
    </w:p>
    <w:tbl>
      <w:tblPr>
        <w:tblStyle w:val="a5"/>
        <w:tblW w:w="0" w:type="auto"/>
        <w:tblLook w:val="04A0" w:firstRow="1" w:lastRow="0" w:firstColumn="1" w:lastColumn="0" w:noHBand="0" w:noVBand="1"/>
      </w:tblPr>
      <w:tblGrid>
        <w:gridCol w:w="4815"/>
        <w:gridCol w:w="4815"/>
      </w:tblGrid>
      <w:tr w:rsidR="00A1732B" w:rsidRPr="000E6955" w14:paraId="2AEB4C27" w14:textId="77777777" w:rsidTr="005C4997">
        <w:trPr>
          <w:cnfStyle w:val="100000000000" w:firstRow="1" w:lastRow="0" w:firstColumn="0" w:lastColumn="0" w:oddVBand="0" w:evenVBand="0" w:oddHBand="0" w:evenHBand="0" w:firstRowFirstColumn="0" w:firstRowLastColumn="0" w:lastRowFirstColumn="0" w:lastRowLastColumn="0"/>
        </w:trPr>
        <w:tc>
          <w:tcPr>
            <w:tcW w:w="4815" w:type="dxa"/>
            <w:tcBorders>
              <w:right w:val="single" w:sz="4" w:space="0" w:color="FFFFFF" w:themeColor="background1"/>
            </w:tcBorders>
            <w:shd w:val="clear" w:color="auto" w:fill="0F1DE8"/>
            <w:vAlign w:val="top"/>
          </w:tcPr>
          <w:p w14:paraId="5F21BD09" w14:textId="4B21BA74" w:rsidR="00A1732B" w:rsidRPr="000E6955" w:rsidRDefault="00D3553B" w:rsidP="005C4997">
            <w:pPr>
              <w:pStyle w:val="CorpsTexteI10BT"/>
              <w:jc w:val="left"/>
              <w:rPr>
                <w:highlight w:val="yellow"/>
              </w:rPr>
            </w:pPr>
            <w:r w:rsidRPr="000E6955">
              <w:rPr>
                <w:color w:val="FFFFFF" w:themeColor="background1"/>
              </w:rPr>
              <w:t>Article</w:t>
            </w:r>
            <w:r w:rsidR="009A60AC" w:rsidRPr="000E6955">
              <w:rPr>
                <w:color w:val="FFFFFF" w:themeColor="background1"/>
              </w:rPr>
              <w:t>s</w:t>
            </w:r>
            <w:r w:rsidRPr="000E6955">
              <w:rPr>
                <w:color w:val="FFFFFF" w:themeColor="background1"/>
              </w:rPr>
              <w:t xml:space="preserve"> - Action</w:t>
            </w:r>
            <w:r w:rsidR="009A60AC" w:rsidRPr="000E6955">
              <w:rPr>
                <w:color w:val="FFFFFF" w:themeColor="background1"/>
              </w:rPr>
              <w:t>s</w:t>
            </w:r>
          </w:p>
        </w:tc>
        <w:tc>
          <w:tcPr>
            <w:tcW w:w="4815" w:type="dxa"/>
            <w:tcBorders>
              <w:left w:val="single" w:sz="4" w:space="0" w:color="FFFFFF" w:themeColor="background1"/>
            </w:tcBorders>
            <w:shd w:val="clear" w:color="auto" w:fill="0F1DE8"/>
            <w:vAlign w:val="top"/>
          </w:tcPr>
          <w:p w14:paraId="2C5DF0CA" w14:textId="4A6A9CF2" w:rsidR="00A1732B" w:rsidRPr="000E6955" w:rsidRDefault="00D3553B" w:rsidP="005C4997">
            <w:pPr>
              <w:pStyle w:val="CorpsTexteI10BT"/>
              <w:jc w:val="left"/>
              <w:rPr>
                <w:highlight w:val="yellow"/>
              </w:rPr>
            </w:pPr>
            <w:r w:rsidRPr="000E6955">
              <w:rPr>
                <w:color w:val="FFFFFF" w:themeColor="background1"/>
              </w:rPr>
              <w:t>Objectifs / Indicateur</w:t>
            </w:r>
            <w:r w:rsidR="009A60AC" w:rsidRPr="000E6955">
              <w:rPr>
                <w:color w:val="FFFFFF" w:themeColor="background1"/>
              </w:rPr>
              <w:t>s</w:t>
            </w:r>
            <w:r w:rsidRPr="000E6955">
              <w:rPr>
                <w:color w:val="FFFFFF" w:themeColor="background1"/>
              </w:rPr>
              <w:t xml:space="preserve"> de suivi</w:t>
            </w:r>
          </w:p>
        </w:tc>
      </w:tr>
      <w:tr w:rsidR="00A1732B" w:rsidRPr="000E6955" w14:paraId="736C7766" w14:textId="77777777" w:rsidTr="005C4997">
        <w:tc>
          <w:tcPr>
            <w:tcW w:w="4815" w:type="dxa"/>
            <w:vAlign w:val="top"/>
          </w:tcPr>
          <w:p w14:paraId="2DB19C4F" w14:textId="77777777" w:rsidR="00A1732B" w:rsidRPr="000E6955" w:rsidRDefault="00D3553B" w:rsidP="005C4997">
            <w:pPr>
              <w:pStyle w:val="CorpsTexteI10BT"/>
              <w:jc w:val="left"/>
            </w:pPr>
            <w:r w:rsidRPr="000E6955">
              <w:t>Art. 1.3</w:t>
            </w:r>
          </w:p>
          <w:p w14:paraId="1FD534AF" w14:textId="55B570CC" w:rsidR="00D3553B" w:rsidRPr="000E6955" w:rsidRDefault="00D3553B" w:rsidP="005C4997">
            <w:pPr>
              <w:pStyle w:val="CorpsTexteI10BT"/>
              <w:jc w:val="left"/>
            </w:pPr>
            <w:r w:rsidRPr="000E6955">
              <w:t>Les RPS : sensibilisation des managers</w:t>
            </w:r>
          </w:p>
        </w:tc>
        <w:tc>
          <w:tcPr>
            <w:tcW w:w="4815" w:type="dxa"/>
            <w:vAlign w:val="top"/>
          </w:tcPr>
          <w:p w14:paraId="2A73A7B3" w14:textId="77777777" w:rsidR="00D3553B" w:rsidRPr="000E6955" w:rsidRDefault="00D3553B" w:rsidP="005C4997">
            <w:pPr>
              <w:pStyle w:val="a"/>
              <w:jc w:val="left"/>
            </w:pPr>
            <w:r w:rsidRPr="000E6955">
              <w:t>Nbre de managers ayant suivi annuellement une sensibilisation</w:t>
            </w:r>
          </w:p>
          <w:p w14:paraId="3A8B8193" w14:textId="77777777" w:rsidR="00EB726A" w:rsidRPr="000E6955" w:rsidRDefault="00EB726A" w:rsidP="005C4997">
            <w:pPr>
              <w:pStyle w:val="a"/>
              <w:jc w:val="left"/>
            </w:pPr>
            <w:r w:rsidRPr="000E6955">
              <w:t>Nbre de managers pour lesquels la dernière sensibilisation date de 4 ans</w:t>
            </w:r>
          </w:p>
          <w:p w14:paraId="5152E01C" w14:textId="2F68D99B" w:rsidR="00EB726A" w:rsidRPr="000E6955" w:rsidRDefault="00EB726A" w:rsidP="005C4997">
            <w:pPr>
              <w:pStyle w:val="a"/>
              <w:jc w:val="left"/>
            </w:pPr>
            <w:r w:rsidRPr="000E6955">
              <w:t>Nbre de managers pour lesquels la dernière sensibilisation date de 5 ans et +</w:t>
            </w:r>
          </w:p>
        </w:tc>
      </w:tr>
      <w:tr w:rsidR="00A1732B" w:rsidRPr="000E6955" w14:paraId="6B7C0E38" w14:textId="77777777" w:rsidTr="005C4997">
        <w:tc>
          <w:tcPr>
            <w:tcW w:w="4815" w:type="dxa"/>
            <w:vAlign w:val="top"/>
          </w:tcPr>
          <w:p w14:paraId="72559218" w14:textId="06A8FBFE" w:rsidR="00A1732B" w:rsidRPr="000E6955" w:rsidRDefault="00D3553B" w:rsidP="005C4997">
            <w:pPr>
              <w:pStyle w:val="CorpsTexteI10BT"/>
              <w:jc w:val="left"/>
            </w:pPr>
            <w:r w:rsidRPr="000E6955">
              <w:t>Art. 1.4</w:t>
            </w:r>
          </w:p>
          <w:p w14:paraId="232D6D1B" w14:textId="09B8B795" w:rsidR="00D3553B" w:rsidRPr="000E6955" w:rsidRDefault="00D3553B" w:rsidP="005C4997">
            <w:pPr>
              <w:pStyle w:val="CorpsTexteI10BT"/>
              <w:jc w:val="left"/>
            </w:pPr>
            <w:r w:rsidRPr="000E6955">
              <w:t>Le Baromètre Stress</w:t>
            </w:r>
          </w:p>
        </w:tc>
        <w:tc>
          <w:tcPr>
            <w:tcW w:w="4815" w:type="dxa"/>
            <w:vAlign w:val="top"/>
          </w:tcPr>
          <w:p w14:paraId="4D3EC7C4" w14:textId="77777777" w:rsidR="00A1732B" w:rsidRPr="000E6955" w:rsidRDefault="00D3553B" w:rsidP="005C4997">
            <w:pPr>
              <w:pStyle w:val="a"/>
              <w:jc w:val="left"/>
            </w:pPr>
            <w:r w:rsidRPr="000E6955">
              <w:t>Nbre de connexions à la plateforme</w:t>
            </w:r>
          </w:p>
          <w:p w14:paraId="053D1695" w14:textId="77777777" w:rsidR="00D3553B" w:rsidRPr="000E6955" w:rsidRDefault="00D3553B" w:rsidP="005C4997">
            <w:pPr>
              <w:pStyle w:val="a"/>
              <w:jc w:val="left"/>
            </w:pPr>
            <w:r w:rsidRPr="000E6955">
              <w:t>Nbre de cas « sensibles » recensés</w:t>
            </w:r>
          </w:p>
          <w:p w14:paraId="20BF71C3" w14:textId="3A868F11" w:rsidR="00512CBD" w:rsidRPr="000E6955" w:rsidRDefault="00512CBD" w:rsidP="005C4997">
            <w:pPr>
              <w:pStyle w:val="a"/>
              <w:jc w:val="left"/>
            </w:pPr>
            <w:r w:rsidRPr="000E6955">
              <w:t xml:space="preserve">Synthèse des </w:t>
            </w:r>
            <w:proofErr w:type="spellStart"/>
            <w:r w:rsidRPr="000E6955">
              <w:t>auto-diagnostics</w:t>
            </w:r>
            <w:proofErr w:type="spellEnd"/>
          </w:p>
        </w:tc>
      </w:tr>
      <w:tr w:rsidR="00A1732B" w:rsidRPr="000E6955" w14:paraId="2C51AAA0" w14:textId="77777777" w:rsidTr="005C4997">
        <w:tc>
          <w:tcPr>
            <w:tcW w:w="4815" w:type="dxa"/>
            <w:vAlign w:val="top"/>
          </w:tcPr>
          <w:p w14:paraId="228A26DF" w14:textId="04AB7C7E" w:rsidR="00A1732B" w:rsidRPr="000E6955" w:rsidRDefault="006F5C79" w:rsidP="005C4997">
            <w:pPr>
              <w:pStyle w:val="CorpsTexteI10BT"/>
              <w:jc w:val="left"/>
            </w:pPr>
            <w:r w:rsidRPr="000E6955">
              <w:t>Art. 1.5</w:t>
            </w:r>
          </w:p>
          <w:p w14:paraId="113A6605" w14:textId="0E678FF2" w:rsidR="006F5C79" w:rsidRPr="000E6955" w:rsidRDefault="006F5C79" w:rsidP="005C4997">
            <w:pPr>
              <w:pStyle w:val="CorpsTexteI10BT"/>
              <w:jc w:val="left"/>
            </w:pPr>
            <w:r w:rsidRPr="000E6955">
              <w:t>Maladies Professionnelles</w:t>
            </w:r>
          </w:p>
        </w:tc>
        <w:tc>
          <w:tcPr>
            <w:tcW w:w="4815" w:type="dxa"/>
            <w:vAlign w:val="top"/>
          </w:tcPr>
          <w:p w14:paraId="0868820C" w14:textId="4F5EBB05" w:rsidR="006F5C79" w:rsidRPr="000E6955" w:rsidRDefault="00163055" w:rsidP="005C4997">
            <w:pPr>
              <w:pStyle w:val="a"/>
              <w:jc w:val="left"/>
            </w:pPr>
            <w:r w:rsidRPr="000E6955">
              <w:t>Nbre de MP déclarées, acceptées et refusées par l’Assurance Maladie</w:t>
            </w:r>
          </w:p>
        </w:tc>
      </w:tr>
      <w:tr w:rsidR="00EC66F8" w:rsidRPr="000E6955" w14:paraId="06160CE5" w14:textId="77777777" w:rsidTr="005C4997">
        <w:tc>
          <w:tcPr>
            <w:tcW w:w="4815" w:type="dxa"/>
            <w:vAlign w:val="top"/>
          </w:tcPr>
          <w:p w14:paraId="1AEE3628" w14:textId="77777777" w:rsidR="00EC66F8" w:rsidRPr="000E6955" w:rsidRDefault="00EC66F8" w:rsidP="005C4997">
            <w:pPr>
              <w:pStyle w:val="CorpsTexteI10BT"/>
              <w:jc w:val="left"/>
            </w:pPr>
            <w:r w:rsidRPr="000E6955">
              <w:t>Art. 1.6</w:t>
            </w:r>
          </w:p>
          <w:p w14:paraId="18B5B55E" w14:textId="7F3623CA" w:rsidR="00EC66F8" w:rsidRPr="000E6955" w:rsidRDefault="00EC66F8" w:rsidP="005C4997">
            <w:pPr>
              <w:pStyle w:val="CorpsTexteI10BT"/>
              <w:jc w:val="left"/>
            </w:pPr>
            <w:r w:rsidRPr="000E6955">
              <w:t>Les sous-traitants : rappel de règles de sécurité</w:t>
            </w:r>
          </w:p>
        </w:tc>
        <w:tc>
          <w:tcPr>
            <w:tcW w:w="4815" w:type="dxa"/>
            <w:vAlign w:val="top"/>
          </w:tcPr>
          <w:p w14:paraId="0DFB8B27" w14:textId="70D177EA" w:rsidR="00634CCE" w:rsidRPr="005C4997" w:rsidRDefault="00A67F54" w:rsidP="005C4997">
            <w:pPr>
              <w:pStyle w:val="a"/>
              <w:jc w:val="left"/>
            </w:pPr>
            <w:r w:rsidRPr="000E6955">
              <w:t>Nombre de plans de prévention élaborés (dont ceux au titre des travaux dangereux)</w:t>
            </w:r>
          </w:p>
        </w:tc>
      </w:tr>
      <w:tr w:rsidR="00BF4836" w:rsidRPr="000E6955" w14:paraId="20062C2B" w14:textId="77777777" w:rsidTr="005C4997">
        <w:tc>
          <w:tcPr>
            <w:tcW w:w="4815" w:type="dxa"/>
            <w:vAlign w:val="top"/>
          </w:tcPr>
          <w:p w14:paraId="53416670" w14:textId="6F2FF9B1" w:rsidR="00BF4836" w:rsidRPr="000E6955" w:rsidRDefault="00BF4836" w:rsidP="005C4997">
            <w:pPr>
              <w:pStyle w:val="CorpsTexteI10BT"/>
              <w:jc w:val="left"/>
            </w:pPr>
            <w:r w:rsidRPr="000E6955">
              <w:t>Art. 2.1</w:t>
            </w:r>
          </w:p>
          <w:p w14:paraId="3E4F24F8" w14:textId="3609EEF6" w:rsidR="00BF4836" w:rsidRPr="000E6955" w:rsidRDefault="00BF4836" w:rsidP="005C4997">
            <w:pPr>
              <w:pStyle w:val="CorpsTexteI10BT"/>
              <w:jc w:val="left"/>
            </w:pPr>
            <w:r w:rsidRPr="000E6955">
              <w:t>La Charte Télétravail</w:t>
            </w:r>
          </w:p>
        </w:tc>
        <w:tc>
          <w:tcPr>
            <w:tcW w:w="4815" w:type="dxa"/>
            <w:vAlign w:val="top"/>
          </w:tcPr>
          <w:p w14:paraId="7D4A21F8" w14:textId="41D6121B" w:rsidR="00BF4836" w:rsidRPr="000E6955" w:rsidRDefault="00BF4836" w:rsidP="005C4997">
            <w:pPr>
              <w:pStyle w:val="a"/>
              <w:jc w:val="left"/>
            </w:pPr>
            <w:r w:rsidRPr="000E6955">
              <w:t>Nbre moyen de jours de télétravail</w:t>
            </w:r>
            <w:r w:rsidR="00455A0E" w:rsidRPr="000E6955">
              <w:t xml:space="preserve"> par collaborateur</w:t>
            </w:r>
          </w:p>
        </w:tc>
      </w:tr>
      <w:tr w:rsidR="00A1732B" w:rsidRPr="000E6955" w14:paraId="22D3739F" w14:textId="77777777" w:rsidTr="005C4997">
        <w:tc>
          <w:tcPr>
            <w:tcW w:w="4815" w:type="dxa"/>
            <w:vAlign w:val="top"/>
          </w:tcPr>
          <w:p w14:paraId="33C1FD2F" w14:textId="77777777" w:rsidR="00A1732B" w:rsidRPr="000E6955" w:rsidRDefault="003E4D5F" w:rsidP="005C4997">
            <w:pPr>
              <w:pStyle w:val="CorpsTexteI10BT"/>
              <w:jc w:val="left"/>
            </w:pPr>
            <w:r w:rsidRPr="000E6955">
              <w:t xml:space="preserve">Art. </w:t>
            </w:r>
            <w:r w:rsidR="0094595C" w:rsidRPr="000E6955">
              <w:t>3.1</w:t>
            </w:r>
          </w:p>
          <w:p w14:paraId="540B92AB" w14:textId="0FEC70CB" w:rsidR="0094595C" w:rsidRPr="000E6955" w:rsidRDefault="0094595C" w:rsidP="005C4997">
            <w:pPr>
              <w:pStyle w:val="CorpsTexteI10BT"/>
              <w:jc w:val="left"/>
            </w:pPr>
            <w:r w:rsidRPr="000E6955">
              <w:t>Le Recrutement : la mixité des emplois</w:t>
            </w:r>
          </w:p>
        </w:tc>
        <w:tc>
          <w:tcPr>
            <w:tcW w:w="4815" w:type="dxa"/>
            <w:vAlign w:val="top"/>
          </w:tcPr>
          <w:p w14:paraId="5B067C17" w14:textId="33AF0FD6" w:rsidR="00A1732B" w:rsidRPr="005C4997" w:rsidRDefault="0025303B" w:rsidP="005C4997">
            <w:pPr>
              <w:pStyle w:val="a"/>
              <w:jc w:val="left"/>
            </w:pPr>
            <w:r w:rsidRPr="000E6955">
              <w:t>Atteindre puis maintenir un effectif de la population féminine à hauteur de 30 % sur 4 ans</w:t>
            </w:r>
          </w:p>
        </w:tc>
      </w:tr>
      <w:tr w:rsidR="00A1732B" w:rsidRPr="000E6955" w14:paraId="6185AECA" w14:textId="77777777" w:rsidTr="005C4997">
        <w:tc>
          <w:tcPr>
            <w:tcW w:w="4815" w:type="dxa"/>
            <w:vAlign w:val="top"/>
          </w:tcPr>
          <w:p w14:paraId="08C0CA92" w14:textId="77777777" w:rsidR="00A1732B" w:rsidRPr="000E6955" w:rsidRDefault="0094595C" w:rsidP="005C4997">
            <w:pPr>
              <w:pStyle w:val="CorpsTexteI10BT"/>
              <w:jc w:val="left"/>
            </w:pPr>
            <w:r w:rsidRPr="000E6955">
              <w:t>Art. 3.1.1</w:t>
            </w:r>
          </w:p>
          <w:p w14:paraId="25075881" w14:textId="22376BDB" w:rsidR="0094595C" w:rsidRPr="000E6955" w:rsidRDefault="0094595C" w:rsidP="005C4997">
            <w:pPr>
              <w:pStyle w:val="CorpsTexteI10BT"/>
              <w:jc w:val="left"/>
            </w:pPr>
            <w:r w:rsidRPr="000E6955">
              <w:t>Le suivi des candidature / équilibre des recrutements</w:t>
            </w:r>
          </w:p>
        </w:tc>
        <w:tc>
          <w:tcPr>
            <w:tcW w:w="4815" w:type="dxa"/>
            <w:vAlign w:val="top"/>
          </w:tcPr>
          <w:p w14:paraId="35F4E6C9" w14:textId="77777777" w:rsidR="00A1732B" w:rsidRPr="000E6955" w:rsidRDefault="0094595C" w:rsidP="005C4997">
            <w:pPr>
              <w:pStyle w:val="a"/>
              <w:jc w:val="left"/>
            </w:pPr>
            <w:r w:rsidRPr="000E6955">
              <w:t>Nbre de candidatures F/H reçues</w:t>
            </w:r>
          </w:p>
          <w:p w14:paraId="1F23749B" w14:textId="77777777" w:rsidR="0094595C" w:rsidRPr="000E6955" w:rsidRDefault="0094595C" w:rsidP="005C4997">
            <w:pPr>
              <w:pStyle w:val="a"/>
              <w:jc w:val="left"/>
            </w:pPr>
            <w:r w:rsidRPr="000E6955">
              <w:t>Nbre d’entretiens menées F/H</w:t>
            </w:r>
          </w:p>
          <w:p w14:paraId="25DB1A1E" w14:textId="09420C74" w:rsidR="0094595C" w:rsidRPr="000E6955" w:rsidRDefault="0094595C" w:rsidP="005C4997">
            <w:pPr>
              <w:pStyle w:val="a"/>
              <w:jc w:val="left"/>
            </w:pPr>
            <w:r w:rsidRPr="000E6955">
              <w:t>Nbre d’embauches réalisées F/H</w:t>
            </w:r>
          </w:p>
        </w:tc>
      </w:tr>
      <w:tr w:rsidR="00A1732B" w:rsidRPr="000E6955" w14:paraId="6BC3FDA8" w14:textId="77777777" w:rsidTr="005C4997">
        <w:tc>
          <w:tcPr>
            <w:tcW w:w="4815" w:type="dxa"/>
            <w:vAlign w:val="top"/>
          </w:tcPr>
          <w:p w14:paraId="5D8D3078" w14:textId="77777777" w:rsidR="00A1732B" w:rsidRPr="000E6955" w:rsidRDefault="0094595C" w:rsidP="005C4997">
            <w:pPr>
              <w:pStyle w:val="CorpsTexteI10BT"/>
              <w:jc w:val="left"/>
            </w:pPr>
            <w:r w:rsidRPr="000E6955">
              <w:t>Art. 3.1.2</w:t>
            </w:r>
          </w:p>
          <w:p w14:paraId="608F5692" w14:textId="4A2A6AF4" w:rsidR="0094595C" w:rsidRPr="000E6955" w:rsidRDefault="0094595C" w:rsidP="005C4997">
            <w:pPr>
              <w:pStyle w:val="CorpsTexteI10BT"/>
              <w:jc w:val="left"/>
            </w:pPr>
            <w:r w:rsidRPr="000E6955">
              <w:t>Les actions auprès des Ecoles / Universités et Forums</w:t>
            </w:r>
          </w:p>
        </w:tc>
        <w:tc>
          <w:tcPr>
            <w:tcW w:w="4815" w:type="dxa"/>
            <w:vAlign w:val="top"/>
          </w:tcPr>
          <w:p w14:paraId="75F8FB0C" w14:textId="3D754CAA" w:rsidR="00A1732B" w:rsidRPr="000E6955" w:rsidRDefault="0094595C" w:rsidP="005C4997">
            <w:pPr>
              <w:pStyle w:val="a"/>
              <w:jc w:val="left"/>
            </w:pPr>
            <w:r w:rsidRPr="000E6955">
              <w:t>Nbre de réunions de présentation / de forums auxquels BT a participé</w:t>
            </w:r>
          </w:p>
        </w:tc>
      </w:tr>
      <w:tr w:rsidR="00A1732B" w:rsidRPr="000E6955" w14:paraId="6FDBB4D9" w14:textId="77777777" w:rsidTr="005C4997">
        <w:tc>
          <w:tcPr>
            <w:tcW w:w="4815" w:type="dxa"/>
            <w:vAlign w:val="top"/>
          </w:tcPr>
          <w:p w14:paraId="52133150" w14:textId="77777777" w:rsidR="00A1732B" w:rsidRPr="000E6955" w:rsidRDefault="00B313ED" w:rsidP="005C4997">
            <w:pPr>
              <w:pStyle w:val="CorpsTexteI10BT"/>
              <w:jc w:val="left"/>
            </w:pPr>
            <w:r w:rsidRPr="000E6955">
              <w:t>Art. 3.2</w:t>
            </w:r>
          </w:p>
          <w:p w14:paraId="58E71170" w14:textId="7EB0BA7E" w:rsidR="00B313ED" w:rsidRPr="000E6955" w:rsidRDefault="00B313ED" w:rsidP="005C4997">
            <w:pPr>
              <w:pStyle w:val="CorpsTexteI10BT"/>
              <w:jc w:val="left"/>
            </w:pPr>
            <w:r w:rsidRPr="000E6955">
              <w:t>L’aménagement des postes de travail</w:t>
            </w:r>
          </w:p>
        </w:tc>
        <w:tc>
          <w:tcPr>
            <w:tcW w:w="4815" w:type="dxa"/>
            <w:vAlign w:val="top"/>
          </w:tcPr>
          <w:p w14:paraId="3394D5D2" w14:textId="1DAF001E" w:rsidR="00A1732B" w:rsidRPr="000E6955" w:rsidRDefault="00B313ED" w:rsidP="005C4997">
            <w:pPr>
              <w:pStyle w:val="a"/>
              <w:jc w:val="left"/>
            </w:pPr>
            <w:r w:rsidRPr="000E6955">
              <w:t>Nbre de postes aménagés</w:t>
            </w:r>
          </w:p>
        </w:tc>
      </w:tr>
      <w:tr w:rsidR="00A1732B" w:rsidRPr="000E6955" w14:paraId="257A97C8" w14:textId="77777777" w:rsidTr="005C4997">
        <w:tc>
          <w:tcPr>
            <w:tcW w:w="4815" w:type="dxa"/>
            <w:vAlign w:val="top"/>
          </w:tcPr>
          <w:p w14:paraId="08B053C7" w14:textId="77777777" w:rsidR="00A1732B" w:rsidRPr="000E6955" w:rsidRDefault="009C3B7F" w:rsidP="005C4997">
            <w:pPr>
              <w:pStyle w:val="CorpsTexteI10BT"/>
              <w:jc w:val="left"/>
            </w:pPr>
            <w:r w:rsidRPr="000E6955">
              <w:lastRenderedPageBreak/>
              <w:t>Art. 3.3.2</w:t>
            </w:r>
          </w:p>
          <w:p w14:paraId="5AB5E7AF" w14:textId="7C9CF25F" w:rsidR="009C3B7F" w:rsidRPr="000E6955" w:rsidRDefault="009C3B7F" w:rsidP="005C4997">
            <w:pPr>
              <w:pStyle w:val="CorpsTexteI10BT"/>
              <w:jc w:val="left"/>
            </w:pPr>
            <w:r w:rsidRPr="000E6955">
              <w:t>Révisions de salaire</w:t>
            </w:r>
          </w:p>
        </w:tc>
        <w:tc>
          <w:tcPr>
            <w:tcW w:w="4815" w:type="dxa"/>
            <w:vAlign w:val="top"/>
          </w:tcPr>
          <w:p w14:paraId="192993C4" w14:textId="18B5BA68" w:rsidR="009C3B7F" w:rsidRPr="000E6955" w:rsidRDefault="009C3B7F" w:rsidP="005C4997">
            <w:pPr>
              <w:pStyle w:val="a"/>
              <w:jc w:val="left"/>
            </w:pPr>
            <w:r w:rsidRPr="000E6955">
              <w:t>Médiane des AI F/H par CSP</w:t>
            </w:r>
          </w:p>
          <w:p w14:paraId="454716BC" w14:textId="77777777" w:rsidR="009C3B7F" w:rsidRPr="000E6955" w:rsidRDefault="009C3B7F" w:rsidP="005C4997">
            <w:pPr>
              <w:pStyle w:val="a"/>
              <w:jc w:val="left"/>
            </w:pPr>
            <w:r w:rsidRPr="000E6955">
              <w:t>% d’augmentations F/H de retour d’un congé maternité / adoption comparé à la moyenne des augmentations individuelles</w:t>
            </w:r>
          </w:p>
          <w:p w14:paraId="218CBA60" w14:textId="77777777" w:rsidR="009C3B7F" w:rsidRPr="000E6955" w:rsidRDefault="009C3B7F" w:rsidP="005C4997">
            <w:pPr>
              <w:pStyle w:val="a"/>
              <w:jc w:val="left"/>
            </w:pPr>
            <w:r w:rsidRPr="000E6955">
              <w:t>% d’augmentations des collaborateurs à temps partiel F/H comparé à la moyenne générale totale</w:t>
            </w:r>
          </w:p>
          <w:p w14:paraId="0F861259" w14:textId="326EFD2D" w:rsidR="009C3B7F" w:rsidRPr="000E6955" w:rsidRDefault="009C3B7F" w:rsidP="005C4997">
            <w:pPr>
              <w:pStyle w:val="a"/>
              <w:jc w:val="left"/>
            </w:pPr>
            <w:r w:rsidRPr="000E6955">
              <w:t>% d’augmentation attribué</w:t>
            </w:r>
            <w:r w:rsidR="00655E58" w:rsidRPr="000E6955">
              <w:t>e</w:t>
            </w:r>
            <w:r w:rsidRPr="000E6955">
              <w:t xml:space="preserve"> au titre des ajustements</w:t>
            </w:r>
          </w:p>
        </w:tc>
      </w:tr>
      <w:tr w:rsidR="00A1732B" w:rsidRPr="000E6955" w14:paraId="0B75718B" w14:textId="77777777" w:rsidTr="005C4997">
        <w:tc>
          <w:tcPr>
            <w:tcW w:w="4815" w:type="dxa"/>
            <w:vAlign w:val="top"/>
          </w:tcPr>
          <w:p w14:paraId="2FFE4ECF" w14:textId="77777777" w:rsidR="00A1732B" w:rsidRPr="000E6955" w:rsidRDefault="00D40853" w:rsidP="005C4997">
            <w:pPr>
              <w:pStyle w:val="CorpsTexteI10BT"/>
              <w:keepNext/>
              <w:jc w:val="left"/>
            </w:pPr>
            <w:r w:rsidRPr="000E6955">
              <w:t>Art. 3.3.3</w:t>
            </w:r>
          </w:p>
          <w:p w14:paraId="6B1D9704" w14:textId="5543F7B8" w:rsidR="00D40853" w:rsidRPr="000E6955" w:rsidRDefault="00D40853" w:rsidP="005C4997">
            <w:pPr>
              <w:pStyle w:val="CorpsTexteI10BT"/>
              <w:keepNext/>
              <w:jc w:val="left"/>
            </w:pPr>
            <w:r w:rsidRPr="000E6955">
              <w:t>L’évolution professionnelle</w:t>
            </w:r>
          </w:p>
        </w:tc>
        <w:tc>
          <w:tcPr>
            <w:tcW w:w="4815" w:type="dxa"/>
            <w:vAlign w:val="top"/>
          </w:tcPr>
          <w:p w14:paraId="36663172" w14:textId="471C928A" w:rsidR="00584BF7" w:rsidRPr="000E6955" w:rsidRDefault="00012896" w:rsidP="005C4997">
            <w:pPr>
              <w:pStyle w:val="a"/>
              <w:keepNext/>
              <w:jc w:val="left"/>
            </w:pPr>
            <w:r w:rsidRPr="000E6955">
              <w:t>Nbre et proportion de femmes occupant des postes à partir de la position hiérarchique 2.3</w:t>
            </w:r>
          </w:p>
          <w:p w14:paraId="6937599B" w14:textId="68DA862C" w:rsidR="00E714B7" w:rsidRPr="000E6955" w:rsidRDefault="00E714B7" w:rsidP="005C4997">
            <w:pPr>
              <w:pStyle w:val="a"/>
              <w:keepNext/>
              <w:jc w:val="left"/>
            </w:pPr>
            <w:r w:rsidRPr="000E6955">
              <w:t>Nbre d’EP menés annuellement par position hiérarchique / coefficient hiérarchique et par genre</w:t>
            </w:r>
          </w:p>
        </w:tc>
      </w:tr>
      <w:tr w:rsidR="00A1732B" w:rsidRPr="000E6955" w14:paraId="2D53100E" w14:textId="77777777" w:rsidTr="005C4997">
        <w:tc>
          <w:tcPr>
            <w:tcW w:w="4815" w:type="dxa"/>
            <w:vAlign w:val="top"/>
          </w:tcPr>
          <w:p w14:paraId="6E38D55F" w14:textId="2A9DC6BB" w:rsidR="00A1732B" w:rsidRPr="000E6955" w:rsidRDefault="00066060" w:rsidP="005C4997">
            <w:pPr>
              <w:pStyle w:val="CorpsTexteI10BT"/>
              <w:jc w:val="left"/>
            </w:pPr>
            <w:r w:rsidRPr="000E6955">
              <w:t>Art. 3.4.1</w:t>
            </w:r>
          </w:p>
          <w:p w14:paraId="339199FE" w14:textId="0A6A99B6" w:rsidR="00066060" w:rsidRPr="000E6955" w:rsidRDefault="00066060" w:rsidP="005C4997">
            <w:pPr>
              <w:pStyle w:val="CorpsTexteI10BT"/>
              <w:jc w:val="left"/>
            </w:pPr>
            <w:r w:rsidRPr="000E6955">
              <w:t>Le Plan de développement des compétences (PDC)</w:t>
            </w:r>
          </w:p>
        </w:tc>
        <w:tc>
          <w:tcPr>
            <w:tcW w:w="4815" w:type="dxa"/>
            <w:vAlign w:val="top"/>
          </w:tcPr>
          <w:p w14:paraId="65CFB4E5" w14:textId="77777777" w:rsidR="00066060" w:rsidRPr="000E6955" w:rsidRDefault="00066060" w:rsidP="005C4997">
            <w:pPr>
              <w:pStyle w:val="a"/>
              <w:jc w:val="left"/>
            </w:pPr>
            <w:r w:rsidRPr="000E6955">
              <w:t>% des collaborateurs formés/effectif</w:t>
            </w:r>
          </w:p>
          <w:p w14:paraId="36EFE530" w14:textId="55465FB0" w:rsidR="00066060" w:rsidRPr="000E6955" w:rsidRDefault="00066060" w:rsidP="005C4997">
            <w:pPr>
              <w:pStyle w:val="a"/>
              <w:jc w:val="left"/>
            </w:pPr>
            <w:r w:rsidRPr="000E6955">
              <w:t xml:space="preserve">Répartition des collaborateurs formés </w:t>
            </w:r>
            <w:r w:rsidR="00E714B7" w:rsidRPr="000E6955">
              <w:t>par catégorie</w:t>
            </w:r>
            <w:r w:rsidRPr="000E6955">
              <w:t xml:space="preserve"> F/H</w:t>
            </w:r>
          </w:p>
          <w:p w14:paraId="0E6BD3FA" w14:textId="77777777" w:rsidR="00066060" w:rsidRPr="000E6955" w:rsidRDefault="00066060" w:rsidP="005C4997">
            <w:pPr>
              <w:pStyle w:val="a"/>
              <w:jc w:val="left"/>
            </w:pPr>
            <w:r w:rsidRPr="000E6955">
              <w:t>Répartition des collaborateurs formés par thème</w:t>
            </w:r>
          </w:p>
          <w:p w14:paraId="73CD7D76" w14:textId="582B5AB1" w:rsidR="00066060" w:rsidRPr="000E6955" w:rsidRDefault="00066060" w:rsidP="005C4997">
            <w:pPr>
              <w:pStyle w:val="a"/>
              <w:jc w:val="left"/>
            </w:pPr>
            <w:r w:rsidRPr="000E6955">
              <w:t>Répartition des actions hors formation Sécurité</w:t>
            </w:r>
          </w:p>
        </w:tc>
      </w:tr>
      <w:tr w:rsidR="00A1732B" w:rsidRPr="000E6955" w14:paraId="718B3E41" w14:textId="77777777" w:rsidTr="005C4997">
        <w:tc>
          <w:tcPr>
            <w:tcW w:w="4815" w:type="dxa"/>
            <w:vAlign w:val="top"/>
          </w:tcPr>
          <w:p w14:paraId="09634792" w14:textId="77777777" w:rsidR="00A1732B" w:rsidRPr="000E6955" w:rsidRDefault="00956874" w:rsidP="005C4997">
            <w:pPr>
              <w:pStyle w:val="CorpsTexteI10BT"/>
              <w:jc w:val="left"/>
            </w:pPr>
            <w:r w:rsidRPr="000E6955">
              <w:t>Art. 4.1</w:t>
            </w:r>
          </w:p>
          <w:p w14:paraId="669BAA0C" w14:textId="189D8297" w:rsidR="00956874" w:rsidRPr="000E6955" w:rsidRDefault="00956874" w:rsidP="005C4997">
            <w:pPr>
              <w:pStyle w:val="CorpsTexteI10BT"/>
              <w:jc w:val="left"/>
              <w:rPr>
                <w:highlight w:val="yellow"/>
              </w:rPr>
            </w:pPr>
            <w:r w:rsidRPr="000E6955">
              <w:t>Recruter &amp; Intégrer</w:t>
            </w:r>
          </w:p>
        </w:tc>
        <w:tc>
          <w:tcPr>
            <w:tcW w:w="4815" w:type="dxa"/>
            <w:vAlign w:val="top"/>
          </w:tcPr>
          <w:p w14:paraId="79CC7164" w14:textId="20E907EB" w:rsidR="00956874" w:rsidRPr="000E6955" w:rsidRDefault="00956874" w:rsidP="005C4997">
            <w:pPr>
              <w:numPr>
                <w:ilvl w:val="0"/>
                <w:numId w:val="2"/>
              </w:numPr>
              <w:jc w:val="left"/>
              <w:rPr>
                <w:rFonts w:eastAsia="Calibri" w:cs="Arial"/>
                <w:szCs w:val="22"/>
                <w:lang w:eastAsia="en-US"/>
              </w:rPr>
            </w:pPr>
            <w:r w:rsidRPr="000E6955">
              <w:rPr>
                <w:rFonts w:eastAsia="Calibri" w:cs="Arial"/>
                <w:szCs w:val="22"/>
                <w:lang w:eastAsia="en-US"/>
              </w:rPr>
              <w:t>Nbre de périodes d’essais validées</w:t>
            </w:r>
          </w:p>
          <w:p w14:paraId="5CF4E5E8" w14:textId="1FD4B249" w:rsidR="0041491E" w:rsidRPr="000E6955" w:rsidRDefault="0041491E" w:rsidP="005C4997">
            <w:pPr>
              <w:pStyle w:val="a"/>
              <w:jc w:val="left"/>
            </w:pPr>
            <w:r w:rsidRPr="000E6955">
              <w:t>Nbre de périodes d’essais non validées à l’initiative du collaborateur et de l’Entreprise</w:t>
            </w:r>
          </w:p>
          <w:p w14:paraId="7CD77AB4" w14:textId="4944441D" w:rsidR="00A1732B" w:rsidRPr="005C4997" w:rsidRDefault="00956874" w:rsidP="005C4997">
            <w:pPr>
              <w:numPr>
                <w:ilvl w:val="0"/>
                <w:numId w:val="2"/>
              </w:numPr>
              <w:jc w:val="left"/>
              <w:rPr>
                <w:rFonts w:eastAsia="Calibri" w:cs="Arial"/>
                <w:szCs w:val="22"/>
                <w:lang w:eastAsia="en-US"/>
              </w:rPr>
            </w:pPr>
            <w:r w:rsidRPr="000E6955">
              <w:rPr>
                <w:rFonts w:eastAsia="Calibri" w:cs="Arial"/>
                <w:szCs w:val="22"/>
                <w:lang w:eastAsia="en-US"/>
              </w:rPr>
              <w:t>Développement de l’alternance</w:t>
            </w:r>
          </w:p>
        </w:tc>
      </w:tr>
      <w:tr w:rsidR="00A1732B" w:rsidRPr="000E6955" w14:paraId="7275FB3C" w14:textId="77777777" w:rsidTr="005C4997">
        <w:tc>
          <w:tcPr>
            <w:tcW w:w="4815" w:type="dxa"/>
            <w:vAlign w:val="top"/>
          </w:tcPr>
          <w:p w14:paraId="672167C4" w14:textId="77777777" w:rsidR="00956874" w:rsidRPr="000E6955" w:rsidRDefault="00956874" w:rsidP="005C4997">
            <w:pPr>
              <w:pStyle w:val="CorpsTexteI10BT"/>
              <w:jc w:val="left"/>
            </w:pPr>
            <w:r w:rsidRPr="000E6955">
              <w:t xml:space="preserve">Art. 4.2 </w:t>
            </w:r>
          </w:p>
          <w:p w14:paraId="05E02EFD" w14:textId="0796AF83" w:rsidR="00A1732B" w:rsidRPr="000E6955" w:rsidRDefault="00956874" w:rsidP="005C4997">
            <w:pPr>
              <w:pStyle w:val="CorpsTexteI10BT"/>
              <w:jc w:val="left"/>
            </w:pPr>
            <w:r w:rsidRPr="000E6955">
              <w:t>Evaluer</w:t>
            </w:r>
          </w:p>
        </w:tc>
        <w:tc>
          <w:tcPr>
            <w:tcW w:w="4815" w:type="dxa"/>
            <w:vAlign w:val="top"/>
          </w:tcPr>
          <w:p w14:paraId="04775EA1" w14:textId="478179F2" w:rsidR="00A1732B" w:rsidRPr="000E6955" w:rsidRDefault="00956874" w:rsidP="005C4997">
            <w:pPr>
              <w:pStyle w:val="a"/>
              <w:jc w:val="left"/>
            </w:pPr>
            <w:r w:rsidRPr="000E6955">
              <w:t>Nbre d’EAE effectué</w:t>
            </w:r>
            <w:r w:rsidR="00D43AF7" w:rsidRPr="000E6955">
              <w:t>s</w:t>
            </w:r>
            <w:r w:rsidRPr="000E6955">
              <w:t xml:space="preserve"> chaque année</w:t>
            </w:r>
          </w:p>
        </w:tc>
      </w:tr>
      <w:tr w:rsidR="00A1732B" w:rsidRPr="000E6955" w14:paraId="106D48BF" w14:textId="77777777" w:rsidTr="005C4997">
        <w:tc>
          <w:tcPr>
            <w:tcW w:w="4815" w:type="dxa"/>
            <w:vAlign w:val="top"/>
          </w:tcPr>
          <w:p w14:paraId="481591ED" w14:textId="77777777" w:rsidR="00956874" w:rsidRPr="000E6955" w:rsidRDefault="00956874" w:rsidP="005C4997">
            <w:pPr>
              <w:pStyle w:val="CorpsTexteI10BT"/>
              <w:jc w:val="left"/>
            </w:pPr>
            <w:r w:rsidRPr="000E6955">
              <w:t xml:space="preserve">Art. 4.3 </w:t>
            </w:r>
          </w:p>
          <w:p w14:paraId="33342834" w14:textId="782BEC4F" w:rsidR="00956874" w:rsidRPr="000E6955" w:rsidRDefault="00956874" w:rsidP="005C4997">
            <w:pPr>
              <w:pStyle w:val="CorpsTexteI10BT"/>
              <w:jc w:val="left"/>
              <w:rPr>
                <w:highlight w:val="yellow"/>
              </w:rPr>
            </w:pPr>
            <w:r w:rsidRPr="000E6955">
              <w:t>Former &amp; Développer</w:t>
            </w:r>
          </w:p>
        </w:tc>
        <w:tc>
          <w:tcPr>
            <w:tcW w:w="4815" w:type="dxa"/>
            <w:vAlign w:val="top"/>
          </w:tcPr>
          <w:p w14:paraId="490879EE" w14:textId="63B02B47" w:rsidR="00956874" w:rsidRPr="000E6955" w:rsidRDefault="00E714B7" w:rsidP="005C4997">
            <w:pPr>
              <w:numPr>
                <w:ilvl w:val="0"/>
                <w:numId w:val="2"/>
              </w:numPr>
              <w:jc w:val="left"/>
            </w:pPr>
            <w:r w:rsidRPr="000E6955">
              <w:rPr>
                <w:rFonts w:eastAsia="Calibri" w:cs="Arial"/>
                <w:szCs w:val="22"/>
                <w:lang w:eastAsia="en-US"/>
              </w:rPr>
              <w:t>N</w:t>
            </w:r>
            <w:r w:rsidR="00956874" w:rsidRPr="000E6955">
              <w:rPr>
                <w:rFonts w:eastAsia="Calibri" w:cs="Arial"/>
                <w:szCs w:val="22"/>
                <w:lang w:eastAsia="en-US"/>
              </w:rPr>
              <w:t>bre d’entretiens professionnels réalisés</w:t>
            </w:r>
          </w:p>
          <w:p w14:paraId="72F73305" w14:textId="798E506C" w:rsidR="00A1732B" w:rsidRPr="005C4997" w:rsidRDefault="00E714B7" w:rsidP="005C4997">
            <w:pPr>
              <w:numPr>
                <w:ilvl w:val="0"/>
                <w:numId w:val="2"/>
              </w:numPr>
              <w:jc w:val="left"/>
            </w:pPr>
            <w:r w:rsidRPr="000E6955">
              <w:t>N</w:t>
            </w:r>
            <w:r w:rsidR="00956874" w:rsidRPr="000E6955">
              <w:t>bre d’actions / d’heures de formation réalisées</w:t>
            </w:r>
          </w:p>
        </w:tc>
      </w:tr>
      <w:tr w:rsidR="00A1732B" w:rsidRPr="000E6955" w14:paraId="75528F24" w14:textId="77777777" w:rsidTr="005C4997">
        <w:tc>
          <w:tcPr>
            <w:tcW w:w="4815" w:type="dxa"/>
            <w:vAlign w:val="top"/>
          </w:tcPr>
          <w:p w14:paraId="03D760CD" w14:textId="77777777" w:rsidR="00A1732B" w:rsidRPr="000E6955" w:rsidRDefault="00E714B7" w:rsidP="005C4997">
            <w:pPr>
              <w:pStyle w:val="CorpsTexteI10BT"/>
              <w:jc w:val="left"/>
            </w:pPr>
            <w:r w:rsidRPr="000E6955">
              <w:t>Art. 4.4.1</w:t>
            </w:r>
          </w:p>
          <w:p w14:paraId="4B8C79AA" w14:textId="2EDC6CFF" w:rsidR="00E714B7" w:rsidRPr="000E6955" w:rsidRDefault="00E714B7" w:rsidP="005C4997">
            <w:pPr>
              <w:pStyle w:val="CorpsTexteI10BT"/>
              <w:jc w:val="left"/>
              <w:rPr>
                <w:highlight w:val="yellow"/>
              </w:rPr>
            </w:pPr>
            <w:r w:rsidRPr="000E6955">
              <w:t>L’Entretien Professionnel</w:t>
            </w:r>
          </w:p>
        </w:tc>
        <w:tc>
          <w:tcPr>
            <w:tcW w:w="4815" w:type="dxa"/>
            <w:vAlign w:val="top"/>
          </w:tcPr>
          <w:p w14:paraId="033DF94F" w14:textId="4EFCA8CA" w:rsidR="00E714B7" w:rsidRPr="000E6955" w:rsidRDefault="00E714B7" w:rsidP="005C4997">
            <w:pPr>
              <w:pStyle w:val="a"/>
              <w:jc w:val="left"/>
            </w:pPr>
            <w:r w:rsidRPr="000E6955">
              <w:t>Réalisation des volumes annuels d’EP suivants</w:t>
            </w:r>
            <w:r w:rsidR="00B91556" w:rsidRPr="000E6955">
              <w:t> </w:t>
            </w:r>
            <w:r w:rsidRPr="000E6955">
              <w:t xml:space="preserve">: </w:t>
            </w:r>
          </w:p>
          <w:p w14:paraId="7B91F01C" w14:textId="17CD6184" w:rsidR="00E714B7" w:rsidRPr="000E6955" w:rsidRDefault="00E714B7" w:rsidP="005C4997">
            <w:pPr>
              <w:numPr>
                <w:ilvl w:val="1"/>
                <w:numId w:val="2"/>
              </w:numPr>
              <w:jc w:val="left"/>
              <w:rPr>
                <w:rFonts w:eastAsia="Calibri" w:cs="Arial"/>
                <w:szCs w:val="22"/>
                <w:lang w:eastAsia="en-US"/>
              </w:rPr>
            </w:pPr>
            <w:r w:rsidRPr="000E6955">
              <w:rPr>
                <w:rFonts w:eastAsia="Calibri" w:cs="Arial"/>
                <w:szCs w:val="22"/>
                <w:lang w:eastAsia="en-US"/>
              </w:rPr>
              <w:t>2023 : 50 %</w:t>
            </w:r>
          </w:p>
          <w:p w14:paraId="28B56D05" w14:textId="3D22B668" w:rsidR="00E714B7" w:rsidRPr="000E6955" w:rsidRDefault="00E714B7" w:rsidP="005C4997">
            <w:pPr>
              <w:numPr>
                <w:ilvl w:val="1"/>
                <w:numId w:val="2"/>
              </w:numPr>
              <w:jc w:val="left"/>
              <w:rPr>
                <w:rFonts w:eastAsia="Calibri" w:cs="Arial"/>
                <w:szCs w:val="22"/>
                <w:lang w:eastAsia="en-US"/>
              </w:rPr>
            </w:pPr>
            <w:r w:rsidRPr="000E6955">
              <w:rPr>
                <w:rFonts w:eastAsia="Calibri" w:cs="Arial"/>
                <w:szCs w:val="22"/>
                <w:lang w:eastAsia="en-US"/>
              </w:rPr>
              <w:t>2024 : 75 %</w:t>
            </w:r>
          </w:p>
          <w:p w14:paraId="5324132F" w14:textId="77BC891F" w:rsidR="00E714B7" w:rsidRPr="000E6955" w:rsidRDefault="00E714B7" w:rsidP="005C4997">
            <w:pPr>
              <w:numPr>
                <w:ilvl w:val="1"/>
                <w:numId w:val="2"/>
              </w:numPr>
              <w:jc w:val="left"/>
              <w:rPr>
                <w:rFonts w:eastAsia="Calibri" w:cs="Arial"/>
                <w:szCs w:val="22"/>
                <w:lang w:eastAsia="en-US"/>
              </w:rPr>
            </w:pPr>
            <w:r w:rsidRPr="000E6955">
              <w:rPr>
                <w:rFonts w:eastAsia="Calibri" w:cs="Arial"/>
                <w:szCs w:val="22"/>
                <w:lang w:eastAsia="en-US"/>
              </w:rPr>
              <w:t>2025 : 100 %</w:t>
            </w:r>
          </w:p>
          <w:p w14:paraId="74B9E3B7" w14:textId="16E56632" w:rsidR="00E714B7" w:rsidRPr="000E6955" w:rsidRDefault="00E714B7" w:rsidP="005C4997">
            <w:pPr>
              <w:numPr>
                <w:ilvl w:val="0"/>
                <w:numId w:val="2"/>
              </w:numPr>
              <w:jc w:val="left"/>
              <w:rPr>
                <w:rFonts w:cs="Arial"/>
                <w:szCs w:val="22"/>
              </w:rPr>
            </w:pPr>
            <w:r w:rsidRPr="000E6955">
              <w:rPr>
                <w:rFonts w:cs="Arial"/>
                <w:szCs w:val="22"/>
              </w:rPr>
              <w:t>Nbre d’entretiens réalisés et finalisés sur la période</w:t>
            </w:r>
          </w:p>
          <w:p w14:paraId="1A61EAE1" w14:textId="30E96C59" w:rsidR="00E714B7" w:rsidRPr="000E6955" w:rsidRDefault="00E714B7" w:rsidP="005C4997">
            <w:pPr>
              <w:pStyle w:val="a"/>
              <w:jc w:val="left"/>
            </w:pPr>
            <w:r w:rsidRPr="000E6955">
              <w:t>Nbre de collaborateurs qui n’ont pas eu d’EP depuis les 2 dernières années</w:t>
            </w:r>
          </w:p>
          <w:p w14:paraId="67244406" w14:textId="78B3E3AE" w:rsidR="00A1732B" w:rsidRPr="005C4997" w:rsidRDefault="00E714B7" w:rsidP="005C4997">
            <w:pPr>
              <w:pStyle w:val="a"/>
              <w:jc w:val="left"/>
            </w:pPr>
            <w:r w:rsidRPr="000E6955">
              <w:t>Nombre de collaborateurs qui n’ont pas eu d’EP depuis les 3 dernières années</w:t>
            </w:r>
          </w:p>
        </w:tc>
      </w:tr>
      <w:tr w:rsidR="00A1732B" w:rsidRPr="000E6955" w14:paraId="1175D12D" w14:textId="77777777" w:rsidTr="005C4997">
        <w:tc>
          <w:tcPr>
            <w:tcW w:w="4815" w:type="dxa"/>
            <w:vAlign w:val="top"/>
          </w:tcPr>
          <w:p w14:paraId="5A650FC3" w14:textId="77777777" w:rsidR="00A1732B" w:rsidRPr="005D2B22" w:rsidRDefault="00E714B7" w:rsidP="005C4997">
            <w:pPr>
              <w:pStyle w:val="CorpsTexteI10BT"/>
              <w:jc w:val="left"/>
              <w:rPr>
                <w:lang w:val="en-US"/>
              </w:rPr>
            </w:pPr>
            <w:r w:rsidRPr="005D2B22">
              <w:rPr>
                <w:lang w:val="en-US"/>
              </w:rPr>
              <w:t>Art. 4.4.2</w:t>
            </w:r>
          </w:p>
          <w:p w14:paraId="7B4A46AB" w14:textId="7361B889" w:rsidR="00E714B7" w:rsidRPr="005D2B22" w:rsidRDefault="00E714B7" w:rsidP="005C4997">
            <w:pPr>
              <w:pStyle w:val="CorpsTexteI10BT"/>
              <w:jc w:val="left"/>
              <w:rPr>
                <w:highlight w:val="yellow"/>
                <w:lang w:val="en-US"/>
              </w:rPr>
            </w:pPr>
            <w:r w:rsidRPr="005D2B22">
              <w:rPr>
                <w:lang w:val="en-US"/>
              </w:rPr>
              <w:t xml:space="preserve">Les People </w:t>
            </w:r>
            <w:r w:rsidR="005625A7" w:rsidRPr="005D2B22">
              <w:rPr>
                <w:lang w:val="en-US"/>
              </w:rPr>
              <w:t xml:space="preserve">Position </w:t>
            </w:r>
            <w:r w:rsidRPr="005D2B22">
              <w:rPr>
                <w:lang w:val="en-US"/>
              </w:rPr>
              <w:t>Review</w:t>
            </w:r>
            <w:r w:rsidR="005625A7" w:rsidRPr="005D2B22">
              <w:rPr>
                <w:lang w:val="en-US"/>
              </w:rPr>
              <w:t xml:space="preserve"> (PPR)</w:t>
            </w:r>
          </w:p>
        </w:tc>
        <w:tc>
          <w:tcPr>
            <w:tcW w:w="4815" w:type="dxa"/>
            <w:vAlign w:val="top"/>
          </w:tcPr>
          <w:p w14:paraId="5CFE450A" w14:textId="7879404B" w:rsidR="00E714B7" w:rsidRPr="000E6955" w:rsidRDefault="00E714B7" w:rsidP="005C4997">
            <w:pPr>
              <w:numPr>
                <w:ilvl w:val="0"/>
                <w:numId w:val="2"/>
              </w:numPr>
              <w:jc w:val="left"/>
            </w:pPr>
            <w:r w:rsidRPr="000E6955">
              <w:t>Nbre de mobilités internes effectuées</w:t>
            </w:r>
          </w:p>
          <w:p w14:paraId="6B861238" w14:textId="5EA486F6" w:rsidR="00A1732B" w:rsidRPr="005C4997" w:rsidRDefault="00E714B7" w:rsidP="005C4997">
            <w:pPr>
              <w:numPr>
                <w:ilvl w:val="0"/>
                <w:numId w:val="2"/>
              </w:numPr>
              <w:jc w:val="left"/>
            </w:pPr>
            <w:r w:rsidRPr="000E6955">
              <w:t xml:space="preserve">Nbre </w:t>
            </w:r>
            <w:r w:rsidR="00F90C92" w:rsidRPr="000E6955">
              <w:t>d’entretiens de sortie</w:t>
            </w:r>
            <w:r w:rsidRPr="000E6955">
              <w:t xml:space="preserve"> réalisés (évolution en externe)</w:t>
            </w:r>
          </w:p>
        </w:tc>
      </w:tr>
    </w:tbl>
    <w:p w14:paraId="392163D0" w14:textId="77777777" w:rsidR="00C71B75" w:rsidRPr="000E6955" w:rsidRDefault="00C71B75" w:rsidP="00C71B75">
      <w:pPr>
        <w:pStyle w:val="CorpsTexteI10BT"/>
        <w:rPr>
          <w:highlight w:val="yellow"/>
        </w:rPr>
      </w:pPr>
    </w:p>
    <w:p w14:paraId="63B023F3" w14:textId="19323A07" w:rsidR="00802995" w:rsidRPr="000E6955" w:rsidRDefault="00802995" w:rsidP="005C4997">
      <w:pPr>
        <w:pStyle w:val="1"/>
        <w:pageBreakBefore/>
      </w:pPr>
      <w:bookmarkStart w:id="63" w:name="_Toc122001655"/>
      <w:bookmarkStart w:id="64" w:name="_Hlk30772855"/>
      <w:r w:rsidRPr="000E6955">
        <w:lastRenderedPageBreak/>
        <w:t>DUREE DE L’ACCORD</w:t>
      </w:r>
      <w:bookmarkEnd w:id="63"/>
    </w:p>
    <w:p w14:paraId="6EAB30C0" w14:textId="428B710E" w:rsidR="000F688E" w:rsidRPr="000E6955" w:rsidRDefault="001A432B" w:rsidP="000F688E">
      <w:pPr>
        <w:rPr>
          <w:rFonts w:eastAsia="Calibri" w:cs="Arial"/>
          <w:szCs w:val="22"/>
          <w:lang w:eastAsia="en-US"/>
        </w:rPr>
      </w:pPr>
      <w:r w:rsidRPr="000E6955">
        <w:rPr>
          <w:rFonts w:eastAsia="Calibri" w:cs="Arial"/>
          <w:szCs w:val="22"/>
          <w:lang w:eastAsia="en-US"/>
        </w:rPr>
        <w:t xml:space="preserve">Cet </w:t>
      </w:r>
      <w:r w:rsidR="000F688E" w:rsidRPr="000E6955">
        <w:rPr>
          <w:rFonts w:eastAsia="Calibri" w:cs="Arial"/>
          <w:szCs w:val="22"/>
          <w:lang w:eastAsia="en-US"/>
        </w:rPr>
        <w:t>accord est conclu</w:t>
      </w:r>
      <w:r w:rsidRPr="000E6955">
        <w:rPr>
          <w:rFonts w:eastAsia="Calibri" w:cs="Arial"/>
          <w:szCs w:val="22"/>
          <w:lang w:eastAsia="en-US"/>
        </w:rPr>
        <w:t xml:space="preserve"> </w:t>
      </w:r>
      <w:r w:rsidR="000F688E" w:rsidRPr="000E6955">
        <w:rPr>
          <w:rFonts w:eastAsia="Calibri" w:cs="Arial"/>
          <w:szCs w:val="22"/>
          <w:lang w:eastAsia="en-US"/>
        </w:rPr>
        <w:t xml:space="preserve">pour une durée de </w:t>
      </w:r>
      <w:r w:rsidR="000F688E" w:rsidRPr="000E6955">
        <w:rPr>
          <w:rFonts w:eastAsia="Calibri" w:cs="Arial"/>
          <w:b/>
          <w:szCs w:val="22"/>
          <w:lang w:eastAsia="en-US"/>
        </w:rPr>
        <w:t>quatre ans</w:t>
      </w:r>
      <w:r w:rsidR="000F688E" w:rsidRPr="000E6955">
        <w:rPr>
          <w:rFonts w:eastAsia="Calibri" w:cs="Arial"/>
          <w:szCs w:val="22"/>
          <w:lang w:eastAsia="en-US"/>
        </w:rPr>
        <w:t xml:space="preserve"> et s’applique donc aux quatre exercices allant du 1</w:t>
      </w:r>
      <w:r w:rsidR="000F688E" w:rsidRPr="000E6955">
        <w:rPr>
          <w:rFonts w:eastAsia="Calibri" w:cs="Arial"/>
          <w:szCs w:val="22"/>
          <w:vertAlign w:val="superscript"/>
          <w:lang w:eastAsia="en-US"/>
        </w:rPr>
        <w:t>er</w:t>
      </w:r>
      <w:r w:rsidR="000F688E" w:rsidRPr="000E6955">
        <w:rPr>
          <w:rFonts w:eastAsia="Calibri" w:cs="Arial"/>
          <w:szCs w:val="22"/>
          <w:lang w:eastAsia="en-US"/>
        </w:rPr>
        <w:t xml:space="preserve"> janvier 2023 au 31 décembre 2026.</w:t>
      </w:r>
    </w:p>
    <w:p w14:paraId="2AD1A3F7" w14:textId="77777777" w:rsidR="008D2AB9" w:rsidRPr="000E6955" w:rsidRDefault="008D2AB9" w:rsidP="008D2AB9">
      <w:pPr>
        <w:pStyle w:val="1"/>
        <w:spacing w:before="600"/>
        <w:jc w:val="both"/>
      </w:pPr>
      <w:bookmarkStart w:id="65" w:name="_Toc526244960"/>
      <w:bookmarkStart w:id="66" w:name="_Toc92779894"/>
      <w:bookmarkStart w:id="67" w:name="_Toc122001656"/>
      <w:bookmarkEnd w:id="64"/>
      <w:r w:rsidRPr="000E6955">
        <w:rPr>
          <w:caps w:val="0"/>
        </w:rPr>
        <w:t>DISPOSITIONS GENERALES</w:t>
      </w:r>
      <w:bookmarkEnd w:id="65"/>
      <w:bookmarkEnd w:id="66"/>
      <w:bookmarkEnd w:id="67"/>
    </w:p>
    <w:p w14:paraId="478C0D00" w14:textId="5C675917" w:rsidR="008D2AB9" w:rsidRPr="000E6955" w:rsidRDefault="008D2AB9" w:rsidP="008D2AB9">
      <w:pPr>
        <w:pStyle w:val="CorpsTexteI10BT"/>
      </w:pPr>
      <w:r w:rsidRPr="000E6955">
        <w:t>Le présent accord donnera lieu à dépôt dans les conditions prévues au Code du Travail</w:t>
      </w:r>
      <w:r w:rsidRPr="000E6955">
        <w:rPr>
          <w:vertAlign w:val="superscript"/>
        </w:rPr>
        <w:footnoteReference w:id="10"/>
      </w:r>
      <w:r w:rsidRPr="000E6955">
        <w:t xml:space="preserve">, à savoir dépôt, par la Société, sous forme dématérialisée, sur le site Internet dédié </w:t>
      </w:r>
      <w:r w:rsidRPr="000E6955">
        <w:rPr>
          <w:sz w:val="18"/>
        </w:rPr>
        <w:t>(la plateforme</w:t>
      </w:r>
      <w:r w:rsidR="00856626" w:rsidRPr="000E6955">
        <w:rPr>
          <w:sz w:val="18"/>
        </w:rPr>
        <w:t xml:space="preserve"> numérique</w:t>
      </w:r>
      <w:r w:rsidRPr="000E6955">
        <w:rPr>
          <w:sz w:val="18"/>
        </w:rPr>
        <w:t xml:space="preserve"> « </w:t>
      </w:r>
      <w:proofErr w:type="spellStart"/>
      <w:r w:rsidRPr="000E6955">
        <w:rPr>
          <w:sz w:val="18"/>
        </w:rPr>
        <w:t>TéléAccords</w:t>
      </w:r>
      <w:proofErr w:type="spellEnd"/>
      <w:r w:rsidRPr="000E6955">
        <w:rPr>
          <w:sz w:val="18"/>
        </w:rPr>
        <w:t xml:space="preserve"> ») </w:t>
      </w:r>
      <w:r w:rsidRPr="000E6955">
        <w:t>d’une version intégrale et d’une version anonyme. De plus, un exemplaire est déposé auprès du Greffe du Conseil de Prud’hommes du lieu de sa conclusion.</w:t>
      </w:r>
    </w:p>
    <w:p w14:paraId="62DBA3C5" w14:textId="41E9934F" w:rsidR="008D2AB9" w:rsidRPr="000E6955" w:rsidRDefault="008D2AB9" w:rsidP="008D2AB9">
      <w:pPr>
        <w:pStyle w:val="CorpsTexteI10BT"/>
        <w:spacing w:before="120"/>
      </w:pPr>
      <w:r w:rsidRPr="000E6955">
        <w:t xml:space="preserve">Il sera adressé par mail à </w:t>
      </w:r>
      <w:hyperlink r:id="rId17" w:history="1">
        <w:r w:rsidR="00C34225" w:rsidRPr="000E6955">
          <w:rPr>
            <w:rStyle w:val="-"/>
          </w:rPr>
          <w:t>OPNC@syntec.fr</w:t>
        </w:r>
      </w:hyperlink>
      <w:r w:rsidRPr="000E6955">
        <w:t>, pour information, enregistrement et conservation, par l’Observatoire Paritaire de la Négociation Collective, comme le prévoit la Convention Collective des Bureaux d’Etudes Techniques applicable au sein de l’Entreprise.</w:t>
      </w:r>
    </w:p>
    <w:p w14:paraId="1F26B68D" w14:textId="46F0A345" w:rsidR="008D2AB9" w:rsidRPr="000E6955" w:rsidRDefault="008D2AB9" w:rsidP="008D2AB9">
      <w:pPr>
        <w:pStyle w:val="CorpsTexteI10BT"/>
        <w:spacing w:before="120"/>
      </w:pPr>
      <w:r w:rsidRPr="000E6955">
        <w:t xml:space="preserve">Il sera également porté à la connaissance du personnel par diffusion d’un mail et sera publié sur l’intranet </w:t>
      </w:r>
      <w:r w:rsidRPr="000E6955">
        <w:rPr>
          <w:sz w:val="18"/>
        </w:rPr>
        <w:t>(</w:t>
      </w:r>
      <w:proofErr w:type="spellStart"/>
      <w:r w:rsidRPr="000E6955">
        <w:rPr>
          <w:sz w:val="18"/>
        </w:rPr>
        <w:t>B’Inside</w:t>
      </w:r>
      <w:proofErr w:type="spellEnd"/>
      <w:r w:rsidRPr="000E6955">
        <w:rPr>
          <w:sz w:val="18"/>
        </w:rPr>
        <w:t>)</w:t>
      </w:r>
      <w:r w:rsidRPr="000E6955">
        <w:t>.</w:t>
      </w:r>
    </w:p>
    <w:p w14:paraId="18B465BC" w14:textId="77777777" w:rsidR="00E714B7" w:rsidRPr="000E6955" w:rsidRDefault="00E714B7" w:rsidP="008D2AB9">
      <w:pPr>
        <w:pStyle w:val="CorpsTexteI10BT"/>
        <w:spacing w:before="120"/>
      </w:pPr>
    </w:p>
    <w:p w14:paraId="2B360DF9" w14:textId="60236077" w:rsidR="008D2AB9" w:rsidRPr="000E6955" w:rsidRDefault="008D2AB9" w:rsidP="008D2AB9">
      <w:pPr>
        <w:pStyle w:val="CorpsTexteI10BT"/>
        <w:pageBreakBefore/>
        <w:spacing w:before="600"/>
        <w:jc w:val="right"/>
        <w:rPr>
          <w:highlight w:val="yellow"/>
          <w:lang w:eastAsia="fr-FR"/>
        </w:rPr>
      </w:pPr>
      <w:r w:rsidRPr="000E6955">
        <w:rPr>
          <w:lang w:eastAsia="fr-FR"/>
        </w:rPr>
        <w:lastRenderedPageBreak/>
        <w:t xml:space="preserve">Fait à Montigny-le-Bretonneux, </w:t>
      </w:r>
      <w:r w:rsidR="00E724EB" w:rsidRPr="000E6955">
        <w:rPr>
          <w:lang w:eastAsia="fr-FR"/>
        </w:rPr>
        <w:t>le 15</w:t>
      </w:r>
      <w:r w:rsidR="00163D35" w:rsidRPr="000E6955">
        <w:rPr>
          <w:lang w:eastAsia="fr-FR"/>
        </w:rPr>
        <w:t xml:space="preserve"> décembre</w:t>
      </w:r>
      <w:r w:rsidRPr="000E6955">
        <w:rPr>
          <w:lang w:eastAsia="fr-FR"/>
        </w:rPr>
        <w:t xml:space="preserve"> 2022</w:t>
      </w:r>
    </w:p>
    <w:p w14:paraId="53C2DFA0" w14:textId="6F1F341D" w:rsidR="008D2AB9" w:rsidRPr="000E6955" w:rsidRDefault="008D2AB9" w:rsidP="008D2AB9">
      <w:pPr>
        <w:pStyle w:val="CorpsTexteI10BT"/>
        <w:spacing w:before="600" w:after="240"/>
        <w:rPr>
          <w:highlight w:val="yellow"/>
          <w:lang w:eastAsia="fr-FR"/>
        </w:rPr>
      </w:pPr>
      <w:r w:rsidRPr="000E6955">
        <w:rPr>
          <w:lang w:eastAsia="fr-FR"/>
        </w:rPr>
        <w:t xml:space="preserve">Ce document a été établi à l’issue des réunions de négociation </w:t>
      </w:r>
      <w:r w:rsidRPr="000E6955">
        <w:t xml:space="preserve">des </w:t>
      </w:r>
      <w:r w:rsidR="00940737" w:rsidRPr="000E6955">
        <w:t xml:space="preserve">19 juillet - </w:t>
      </w:r>
      <w:r w:rsidRPr="000E6955">
        <w:t>2</w:t>
      </w:r>
      <w:r w:rsidR="00DC6888" w:rsidRPr="000E6955">
        <w:t>7</w:t>
      </w:r>
      <w:r w:rsidRPr="000E6955">
        <w:t xml:space="preserve"> </w:t>
      </w:r>
      <w:r w:rsidR="00DC6888" w:rsidRPr="000E6955">
        <w:t>sept</w:t>
      </w:r>
      <w:r w:rsidRPr="000E6955">
        <w:t xml:space="preserve">embre </w:t>
      </w:r>
      <w:r w:rsidR="00DC6888" w:rsidRPr="000E6955">
        <w:t>–</w:t>
      </w:r>
      <w:r w:rsidRPr="000E6955">
        <w:t xml:space="preserve"> </w:t>
      </w:r>
      <w:r w:rsidR="00DC6888" w:rsidRPr="000E6955">
        <w:t>18</w:t>
      </w:r>
      <w:r w:rsidR="00633C7D" w:rsidRPr="000E6955">
        <w:t> </w:t>
      </w:r>
      <w:r w:rsidR="00DC6888" w:rsidRPr="000E6955">
        <w:t>octobre – 16</w:t>
      </w:r>
      <w:r w:rsidR="000723A1" w:rsidRPr="000E6955">
        <w:t> </w:t>
      </w:r>
      <w:r w:rsidR="00DC6888" w:rsidRPr="000E6955">
        <w:t xml:space="preserve">novembre et </w:t>
      </w:r>
      <w:r w:rsidR="00996FBF" w:rsidRPr="000E6955">
        <w:t>14</w:t>
      </w:r>
      <w:r w:rsidR="00DC6888" w:rsidRPr="000E6955">
        <w:t xml:space="preserve"> </w:t>
      </w:r>
      <w:r w:rsidRPr="000E6955">
        <w:t>décembre 202</w:t>
      </w:r>
      <w:r w:rsidR="00DC6888" w:rsidRPr="000E6955">
        <w:t>2</w:t>
      </w:r>
      <w:r w:rsidRPr="000E6955">
        <w:rPr>
          <w:lang w:eastAsia="fr-FR"/>
        </w:rPr>
        <w:t>.</w:t>
      </w:r>
    </w:p>
    <w:tbl>
      <w:tblPr>
        <w:tblStyle w:val="a5"/>
        <w:tblW w:w="9810" w:type="dxa"/>
        <w:jc w:val="left"/>
        <w:tblInd w:w="-5" w:type="dxa"/>
        <w:tblLook w:val="04A0" w:firstRow="1" w:lastRow="0" w:firstColumn="1" w:lastColumn="0" w:noHBand="0" w:noVBand="1"/>
      </w:tblPr>
      <w:tblGrid>
        <w:gridCol w:w="1836"/>
        <w:gridCol w:w="37"/>
        <w:gridCol w:w="4283"/>
        <w:gridCol w:w="364"/>
        <w:gridCol w:w="3290"/>
      </w:tblGrid>
      <w:tr w:rsidR="008D2AB9" w:rsidRPr="000E6955" w14:paraId="71E1DAE7" w14:textId="77777777" w:rsidTr="008D2AB9">
        <w:trPr>
          <w:cnfStyle w:val="100000000000" w:firstRow="1" w:lastRow="0" w:firstColumn="0" w:lastColumn="0" w:oddVBand="0" w:evenVBand="0" w:oddHBand="0" w:evenHBand="0" w:firstRowFirstColumn="0" w:firstRowLastColumn="0" w:lastRowFirstColumn="0" w:lastRowLastColumn="0"/>
          <w:jc w:val="left"/>
        </w:trPr>
        <w:tc>
          <w:tcPr>
            <w:tcW w:w="9810" w:type="dxa"/>
            <w:gridSpan w:val="5"/>
            <w:tcBorders>
              <w:bottom w:val="single" w:sz="4" w:space="0" w:color="263F6A"/>
            </w:tcBorders>
            <w:shd w:val="clear" w:color="auto" w:fill="0F1DE8"/>
          </w:tcPr>
          <w:p w14:paraId="7609D29D" w14:textId="77777777" w:rsidR="008D2AB9" w:rsidRPr="000E6955" w:rsidRDefault="008D2AB9" w:rsidP="00BE61CD">
            <w:pPr>
              <w:pStyle w:val="CorpsTexteI10BT"/>
              <w:jc w:val="center"/>
              <w:rPr>
                <w:b/>
                <w:color w:val="FFFFFF" w:themeColor="background1"/>
              </w:rPr>
            </w:pPr>
            <w:r w:rsidRPr="000E6955">
              <w:rPr>
                <w:color w:val="FFFFFF" w:themeColor="background1"/>
              </w:rPr>
              <w:t>La Société</w:t>
            </w:r>
          </w:p>
        </w:tc>
      </w:tr>
      <w:tr w:rsidR="008D2AB9" w:rsidRPr="000E6955" w14:paraId="75CC43D1" w14:textId="77777777" w:rsidTr="00BE61CD">
        <w:tblPrEx>
          <w:tblBorders>
            <w:insideH w:val="dashed" w:sz="4" w:space="0" w:color="263F6A"/>
          </w:tblBorders>
        </w:tblPrEx>
        <w:trPr>
          <w:jc w:val="left"/>
        </w:trPr>
        <w:tc>
          <w:tcPr>
            <w:tcW w:w="1874" w:type="dxa"/>
            <w:gridSpan w:val="2"/>
            <w:tcBorders>
              <w:top w:val="single" w:sz="4" w:space="0" w:color="263F6A"/>
            </w:tcBorders>
          </w:tcPr>
          <w:p w14:paraId="0097B227" w14:textId="77777777" w:rsidR="008D2AB9" w:rsidRPr="000E6955" w:rsidRDefault="008D2AB9" w:rsidP="00BE61CD">
            <w:pPr>
              <w:pStyle w:val="CorpsTexteI10BT"/>
              <w:spacing w:before="60"/>
            </w:pPr>
            <w:r w:rsidRPr="000E6955">
              <w:t>Nom</w:t>
            </w:r>
          </w:p>
        </w:tc>
        <w:tc>
          <w:tcPr>
            <w:tcW w:w="7936" w:type="dxa"/>
            <w:gridSpan w:val="3"/>
            <w:tcBorders>
              <w:top w:val="single" w:sz="4" w:space="0" w:color="263F6A"/>
            </w:tcBorders>
          </w:tcPr>
          <w:p w14:paraId="569A3ABD" w14:textId="77777777" w:rsidR="008D2AB9" w:rsidRPr="000E6955" w:rsidRDefault="008D2AB9" w:rsidP="00BE61CD">
            <w:pPr>
              <w:pStyle w:val="CorpsTexteI10BT"/>
              <w:spacing w:before="60"/>
            </w:pPr>
            <w:r w:rsidRPr="000E6955">
              <w:rPr>
                <w:b/>
              </w:rPr>
              <w:t xml:space="preserve">Bertin Technologies </w:t>
            </w:r>
          </w:p>
        </w:tc>
      </w:tr>
      <w:tr w:rsidR="008D2AB9" w:rsidRPr="000E6955" w14:paraId="09C3BB83" w14:textId="77777777" w:rsidTr="00BE61CD">
        <w:tblPrEx>
          <w:tblBorders>
            <w:insideH w:val="dashed" w:sz="4" w:space="0" w:color="263F6A"/>
          </w:tblBorders>
        </w:tblPrEx>
        <w:trPr>
          <w:jc w:val="left"/>
        </w:trPr>
        <w:tc>
          <w:tcPr>
            <w:tcW w:w="1874" w:type="dxa"/>
            <w:gridSpan w:val="2"/>
          </w:tcPr>
          <w:p w14:paraId="3852A874" w14:textId="77777777" w:rsidR="008D2AB9" w:rsidRPr="000E6955" w:rsidRDefault="008D2AB9" w:rsidP="00BE61CD">
            <w:pPr>
              <w:pStyle w:val="CorpsTexteI10BT"/>
            </w:pPr>
            <w:r w:rsidRPr="000E6955">
              <w:t>Forme juridique</w:t>
            </w:r>
          </w:p>
        </w:tc>
        <w:tc>
          <w:tcPr>
            <w:tcW w:w="7936" w:type="dxa"/>
            <w:gridSpan w:val="3"/>
          </w:tcPr>
          <w:p w14:paraId="561549F9" w14:textId="77777777" w:rsidR="008D2AB9" w:rsidRPr="000E6955" w:rsidRDefault="008D2AB9" w:rsidP="00BE61CD">
            <w:pPr>
              <w:pStyle w:val="CorpsTexteI10BT"/>
            </w:pPr>
            <w:r w:rsidRPr="000E6955">
              <w:t>Société par Actions Simplifiée</w:t>
            </w:r>
          </w:p>
        </w:tc>
      </w:tr>
      <w:tr w:rsidR="008D2AB9" w:rsidRPr="000E6955" w14:paraId="0D2E1924" w14:textId="77777777" w:rsidTr="00BE61CD">
        <w:tblPrEx>
          <w:tblBorders>
            <w:insideH w:val="dashed" w:sz="4" w:space="0" w:color="263F6A"/>
          </w:tblBorders>
        </w:tblPrEx>
        <w:trPr>
          <w:jc w:val="left"/>
        </w:trPr>
        <w:tc>
          <w:tcPr>
            <w:tcW w:w="1874" w:type="dxa"/>
            <w:gridSpan w:val="2"/>
          </w:tcPr>
          <w:p w14:paraId="34FD5334" w14:textId="77777777" w:rsidR="008D2AB9" w:rsidRPr="000E6955" w:rsidRDefault="008D2AB9" w:rsidP="00BE61CD">
            <w:pPr>
              <w:pStyle w:val="CorpsTexteI10BT"/>
            </w:pPr>
            <w:r w:rsidRPr="000E6955">
              <w:t>Capital</w:t>
            </w:r>
          </w:p>
        </w:tc>
        <w:tc>
          <w:tcPr>
            <w:tcW w:w="7936" w:type="dxa"/>
            <w:gridSpan w:val="3"/>
          </w:tcPr>
          <w:p w14:paraId="756DB7B9" w14:textId="77777777" w:rsidR="008D2AB9" w:rsidRPr="000E6955" w:rsidRDefault="008D2AB9" w:rsidP="00BE61CD">
            <w:pPr>
              <w:pStyle w:val="CorpsTexteI10BT"/>
            </w:pPr>
            <w:r w:rsidRPr="000E6955">
              <w:t>18 000 000 euros</w:t>
            </w:r>
          </w:p>
        </w:tc>
      </w:tr>
      <w:tr w:rsidR="008D2AB9" w:rsidRPr="000E6955" w14:paraId="0D55A9BD" w14:textId="77777777" w:rsidTr="00BE61CD">
        <w:tblPrEx>
          <w:tblBorders>
            <w:insideH w:val="dashed" w:sz="4" w:space="0" w:color="263F6A"/>
          </w:tblBorders>
        </w:tblPrEx>
        <w:trPr>
          <w:jc w:val="left"/>
        </w:trPr>
        <w:tc>
          <w:tcPr>
            <w:tcW w:w="1874" w:type="dxa"/>
            <w:gridSpan w:val="2"/>
          </w:tcPr>
          <w:p w14:paraId="3C8720F7" w14:textId="77777777" w:rsidR="008D2AB9" w:rsidRPr="000E6955" w:rsidRDefault="008D2AB9" w:rsidP="00BE61CD">
            <w:pPr>
              <w:pStyle w:val="CorpsTexteI10BT"/>
            </w:pPr>
            <w:r w:rsidRPr="000E6955">
              <w:t>Siège social</w:t>
            </w:r>
          </w:p>
        </w:tc>
        <w:tc>
          <w:tcPr>
            <w:tcW w:w="7936" w:type="dxa"/>
            <w:gridSpan w:val="3"/>
          </w:tcPr>
          <w:p w14:paraId="270887FD" w14:textId="77777777" w:rsidR="008D2AB9" w:rsidRPr="000E6955" w:rsidRDefault="008D2AB9" w:rsidP="00BE61CD">
            <w:pPr>
              <w:pStyle w:val="CorpsTexteI10BT"/>
            </w:pPr>
            <w:r w:rsidRPr="000E6955">
              <w:t>10bis avenue Ampère - 78180 MONTIGNY-LE-BRETONNEUX</w:t>
            </w:r>
          </w:p>
        </w:tc>
      </w:tr>
      <w:tr w:rsidR="008D2AB9" w:rsidRPr="000E6955" w14:paraId="18E56CB2" w14:textId="77777777" w:rsidTr="00BE61CD">
        <w:tblPrEx>
          <w:tblBorders>
            <w:insideH w:val="dashed" w:sz="4" w:space="0" w:color="263F6A"/>
          </w:tblBorders>
        </w:tblPrEx>
        <w:trPr>
          <w:cantSplit/>
          <w:trHeight w:val="1701"/>
          <w:jc w:val="left"/>
        </w:trPr>
        <w:tc>
          <w:tcPr>
            <w:tcW w:w="1874" w:type="dxa"/>
            <w:gridSpan w:val="2"/>
          </w:tcPr>
          <w:p w14:paraId="2A5D6D4F" w14:textId="77777777" w:rsidR="008D2AB9" w:rsidRPr="000E6955" w:rsidRDefault="008D2AB9" w:rsidP="00BE61CD">
            <w:pPr>
              <w:pStyle w:val="CorpsTexteI10BT"/>
            </w:pPr>
            <w:r w:rsidRPr="000E6955">
              <w:t>Représentée par</w:t>
            </w:r>
          </w:p>
        </w:tc>
        <w:tc>
          <w:tcPr>
            <w:tcW w:w="4283" w:type="dxa"/>
          </w:tcPr>
          <w:p w14:paraId="5D374BA3" w14:textId="646D0A04" w:rsidR="008D2AB9" w:rsidRPr="000E6955" w:rsidRDefault="008D2AB9" w:rsidP="00BE61CD">
            <w:pPr>
              <w:pStyle w:val="CorpsTexteI10BT"/>
            </w:pPr>
            <w:r w:rsidRPr="000E6955">
              <w:t xml:space="preserve">, agissant en qualité de Responsable Ressources Humaines </w:t>
            </w:r>
          </w:p>
          <w:p w14:paraId="2D5D812F" w14:textId="7286A855" w:rsidR="008D2AB9" w:rsidRPr="000E6955" w:rsidRDefault="008D2AB9" w:rsidP="00BE61CD">
            <w:pPr>
              <w:pStyle w:val="CorpsTexteI10BT"/>
            </w:pPr>
            <w:r w:rsidRPr="000E6955">
              <w:t xml:space="preserve">Accompagné par, </w:t>
            </w:r>
            <w:r w:rsidR="00C00434" w:rsidRPr="000E6955">
              <w:t>HRBP</w:t>
            </w:r>
            <w:r w:rsidRPr="000E6955">
              <w:t>, et de, Responsable des Relations Sociales</w:t>
            </w:r>
          </w:p>
        </w:tc>
        <w:tc>
          <w:tcPr>
            <w:tcW w:w="363" w:type="dxa"/>
            <w:tcBorders>
              <w:top w:val="single" w:sz="4" w:space="0" w:color="auto"/>
              <w:bottom w:val="single" w:sz="4" w:space="0" w:color="263F6A"/>
              <w:right w:val="dashed" w:sz="2" w:space="0" w:color="auto"/>
            </w:tcBorders>
            <w:shd w:val="clear" w:color="auto" w:fill="BFBFBF" w:themeFill="background1" w:themeFillShade="BF"/>
            <w:textDirection w:val="btLr"/>
          </w:tcPr>
          <w:p w14:paraId="7731C129" w14:textId="7E2D1025" w:rsidR="008D2AB9" w:rsidRPr="000E6955" w:rsidRDefault="00C00434" w:rsidP="00BE61CD">
            <w:pPr>
              <w:pStyle w:val="CorpsTexteI10BT"/>
              <w:spacing w:after="0"/>
              <w:jc w:val="center"/>
              <w:rPr>
                <w:sz w:val="12"/>
              </w:rPr>
            </w:pPr>
            <w:r w:rsidRPr="000E6955">
              <w:rPr>
                <w:sz w:val="12"/>
              </w:rPr>
              <w:t>AN</w:t>
            </w:r>
          </w:p>
        </w:tc>
        <w:tc>
          <w:tcPr>
            <w:tcW w:w="3290" w:type="dxa"/>
            <w:tcBorders>
              <w:top w:val="single" w:sz="4" w:space="0" w:color="auto"/>
              <w:left w:val="dashed" w:sz="2" w:space="0" w:color="auto"/>
              <w:bottom w:val="single" w:sz="4" w:space="0" w:color="263F6A"/>
            </w:tcBorders>
          </w:tcPr>
          <w:p w14:paraId="4ACC40F9" w14:textId="77777777" w:rsidR="008D2AB9" w:rsidRPr="000E6955" w:rsidRDefault="008D2AB9" w:rsidP="00BE61CD">
            <w:pPr>
              <w:pStyle w:val="CorpsTexteI10BT"/>
              <w:jc w:val="center"/>
            </w:pPr>
          </w:p>
        </w:tc>
      </w:tr>
      <w:tr w:rsidR="008D2AB9" w:rsidRPr="000E6955" w14:paraId="54F05B0C" w14:textId="77777777" w:rsidTr="00BE61CD">
        <w:trPr>
          <w:jc w:val="left"/>
        </w:trPr>
        <w:tc>
          <w:tcPr>
            <w:tcW w:w="9810" w:type="dxa"/>
            <w:gridSpan w:val="5"/>
            <w:tcBorders>
              <w:left w:val="nil"/>
              <w:bottom w:val="single" w:sz="4" w:space="0" w:color="263F6A"/>
              <w:right w:val="nil"/>
            </w:tcBorders>
          </w:tcPr>
          <w:p w14:paraId="3487B325" w14:textId="77777777" w:rsidR="008D2AB9" w:rsidRPr="000E6955" w:rsidRDefault="008D2AB9" w:rsidP="00BE61CD">
            <w:pPr>
              <w:pStyle w:val="CorpsTexteI10BT"/>
              <w:rPr>
                <w:b/>
                <w:color w:val="FFFFFF" w:themeColor="background1"/>
                <w:highlight w:val="yellow"/>
              </w:rPr>
            </w:pPr>
          </w:p>
        </w:tc>
      </w:tr>
      <w:tr w:rsidR="008D2AB9" w:rsidRPr="000E6955" w14:paraId="24FF968E" w14:textId="77777777" w:rsidTr="008D2AB9">
        <w:trPr>
          <w:jc w:val="left"/>
        </w:trPr>
        <w:tc>
          <w:tcPr>
            <w:tcW w:w="9810" w:type="dxa"/>
            <w:gridSpan w:val="5"/>
            <w:tcBorders>
              <w:bottom w:val="single" w:sz="4" w:space="0" w:color="263F6A"/>
            </w:tcBorders>
            <w:shd w:val="clear" w:color="auto" w:fill="0F1DE8"/>
          </w:tcPr>
          <w:p w14:paraId="23E1B593" w14:textId="77777777" w:rsidR="008D2AB9" w:rsidRPr="000E6955" w:rsidRDefault="008D2AB9" w:rsidP="00BE61CD">
            <w:pPr>
              <w:pStyle w:val="CorpsTexteI10BT"/>
              <w:rPr>
                <w:b/>
                <w:color w:val="FFFFFF" w:themeColor="background1"/>
              </w:rPr>
            </w:pPr>
            <w:r w:rsidRPr="000E6955">
              <w:rPr>
                <w:color w:val="FFFFFF" w:themeColor="background1"/>
              </w:rPr>
              <w:t>Organisations syndicales</w:t>
            </w:r>
          </w:p>
        </w:tc>
      </w:tr>
      <w:tr w:rsidR="008D2AB9" w:rsidRPr="000E6955" w14:paraId="5C0E579F" w14:textId="77777777" w:rsidTr="00BE61CD">
        <w:tblPrEx>
          <w:tblBorders>
            <w:insideH w:val="dashed" w:sz="4" w:space="0" w:color="263F6A"/>
          </w:tblBorders>
        </w:tblPrEx>
        <w:trPr>
          <w:jc w:val="left"/>
        </w:trPr>
        <w:tc>
          <w:tcPr>
            <w:tcW w:w="1837" w:type="dxa"/>
            <w:tcBorders>
              <w:top w:val="single" w:sz="4" w:space="0" w:color="263F6A"/>
            </w:tcBorders>
          </w:tcPr>
          <w:p w14:paraId="7C3F8A5E" w14:textId="77777777" w:rsidR="008D2AB9" w:rsidRPr="000E6955" w:rsidRDefault="008D2AB9" w:rsidP="00BE61CD">
            <w:pPr>
              <w:pStyle w:val="CorpsTexteI10BT"/>
              <w:spacing w:before="60"/>
            </w:pPr>
            <w:r w:rsidRPr="000E6955">
              <w:t>Syndicat</w:t>
            </w:r>
          </w:p>
        </w:tc>
        <w:tc>
          <w:tcPr>
            <w:tcW w:w="4320" w:type="dxa"/>
            <w:gridSpan w:val="2"/>
            <w:tcBorders>
              <w:top w:val="single" w:sz="4" w:space="0" w:color="263F6A"/>
              <w:bottom w:val="dashed" w:sz="4" w:space="0" w:color="263F6A"/>
              <w:right w:val="nil"/>
            </w:tcBorders>
          </w:tcPr>
          <w:p w14:paraId="2CAC2E9D" w14:textId="77777777" w:rsidR="008D2AB9" w:rsidRPr="000E6955" w:rsidRDefault="008D2AB9" w:rsidP="00BE61CD">
            <w:pPr>
              <w:pStyle w:val="CorpsTexteI10BT"/>
              <w:spacing w:before="60"/>
            </w:pPr>
            <w:r w:rsidRPr="000E6955">
              <w:rPr>
                <w:b/>
              </w:rPr>
              <w:t>CFE CGC</w:t>
            </w:r>
          </w:p>
        </w:tc>
        <w:tc>
          <w:tcPr>
            <w:tcW w:w="3653" w:type="dxa"/>
            <w:gridSpan w:val="2"/>
            <w:tcBorders>
              <w:top w:val="single" w:sz="4" w:space="0" w:color="263F6A"/>
              <w:left w:val="nil"/>
              <w:bottom w:val="nil"/>
            </w:tcBorders>
          </w:tcPr>
          <w:p w14:paraId="6484F741" w14:textId="77777777" w:rsidR="008D2AB9" w:rsidRPr="000E6955" w:rsidRDefault="008D2AB9" w:rsidP="00BE61CD">
            <w:pPr>
              <w:pStyle w:val="CorpsTexteI10BT"/>
              <w:spacing w:before="60"/>
              <w:rPr>
                <w:highlight w:val="yellow"/>
              </w:rPr>
            </w:pPr>
          </w:p>
        </w:tc>
      </w:tr>
      <w:tr w:rsidR="008D2AB9" w:rsidRPr="000E6955" w14:paraId="1D9382F1" w14:textId="77777777" w:rsidTr="00BE61CD">
        <w:tblPrEx>
          <w:tblBorders>
            <w:insideH w:val="dashed" w:sz="4" w:space="0" w:color="263F6A"/>
          </w:tblBorders>
        </w:tblPrEx>
        <w:trPr>
          <w:cantSplit/>
          <w:trHeight w:val="1701"/>
          <w:jc w:val="left"/>
        </w:trPr>
        <w:tc>
          <w:tcPr>
            <w:tcW w:w="1837" w:type="dxa"/>
            <w:tcBorders>
              <w:top w:val="dashed" w:sz="4" w:space="0" w:color="263F6A"/>
            </w:tcBorders>
          </w:tcPr>
          <w:p w14:paraId="2D4454E4" w14:textId="77777777" w:rsidR="008D2AB9" w:rsidRPr="000E6955" w:rsidRDefault="008D2AB9" w:rsidP="00BE61CD">
            <w:pPr>
              <w:pStyle w:val="CorpsTexteI10BT"/>
            </w:pPr>
            <w:r w:rsidRPr="000E6955">
              <w:t>Représenté par</w:t>
            </w:r>
          </w:p>
        </w:tc>
        <w:tc>
          <w:tcPr>
            <w:tcW w:w="4320" w:type="dxa"/>
            <w:gridSpan w:val="2"/>
            <w:tcBorders>
              <w:top w:val="dashed" w:sz="4" w:space="0" w:color="263F6A"/>
            </w:tcBorders>
          </w:tcPr>
          <w:p w14:paraId="31797869" w14:textId="32F4BFC3" w:rsidR="008D2AB9" w:rsidRPr="000E6955" w:rsidRDefault="008D2AB9" w:rsidP="00BE61CD">
            <w:pPr>
              <w:pStyle w:val="CorpsTexteI10BT"/>
            </w:pPr>
          </w:p>
        </w:tc>
        <w:tc>
          <w:tcPr>
            <w:tcW w:w="363" w:type="dxa"/>
            <w:tcBorders>
              <w:top w:val="single" w:sz="4" w:space="0" w:color="auto"/>
              <w:bottom w:val="single" w:sz="4" w:space="0" w:color="263F6A"/>
              <w:right w:val="dashed" w:sz="2" w:space="0" w:color="auto"/>
            </w:tcBorders>
            <w:shd w:val="clear" w:color="auto" w:fill="BFBFBF" w:themeFill="background1" w:themeFillShade="BF"/>
            <w:textDirection w:val="btLr"/>
          </w:tcPr>
          <w:p w14:paraId="1C0D15DC" w14:textId="77777777" w:rsidR="008D2AB9" w:rsidRPr="000E6955" w:rsidRDefault="008D2AB9" w:rsidP="00BE61CD">
            <w:pPr>
              <w:pStyle w:val="CorpsTexteI10BT"/>
              <w:spacing w:after="0"/>
              <w:jc w:val="center"/>
              <w:rPr>
                <w:sz w:val="12"/>
              </w:rPr>
            </w:pPr>
            <w:r w:rsidRPr="000E6955">
              <w:rPr>
                <w:sz w:val="12"/>
              </w:rPr>
              <w:t>Visa Electronique</w:t>
            </w:r>
          </w:p>
        </w:tc>
        <w:tc>
          <w:tcPr>
            <w:tcW w:w="3290" w:type="dxa"/>
            <w:tcBorders>
              <w:top w:val="single" w:sz="4" w:space="0" w:color="auto"/>
              <w:left w:val="dashed" w:sz="2" w:space="0" w:color="auto"/>
              <w:bottom w:val="single" w:sz="4" w:space="0" w:color="263F6A"/>
            </w:tcBorders>
          </w:tcPr>
          <w:p w14:paraId="3D0C57DD" w14:textId="77777777" w:rsidR="008D2AB9" w:rsidRPr="000E6955" w:rsidRDefault="008D2AB9" w:rsidP="00BE61CD">
            <w:pPr>
              <w:pStyle w:val="CorpsTexteI10BT"/>
              <w:jc w:val="center"/>
            </w:pPr>
          </w:p>
        </w:tc>
      </w:tr>
      <w:tr w:rsidR="008D2AB9" w:rsidRPr="000E6955" w14:paraId="024B9420" w14:textId="77777777" w:rsidTr="00BE61CD">
        <w:tblPrEx>
          <w:tblBorders>
            <w:insideH w:val="dashed" w:sz="4" w:space="0" w:color="263F6A"/>
          </w:tblBorders>
        </w:tblPrEx>
        <w:trPr>
          <w:jc w:val="left"/>
        </w:trPr>
        <w:tc>
          <w:tcPr>
            <w:tcW w:w="1837" w:type="dxa"/>
            <w:tcBorders>
              <w:top w:val="single" w:sz="4" w:space="0" w:color="263F6A"/>
            </w:tcBorders>
          </w:tcPr>
          <w:p w14:paraId="3F13203B" w14:textId="77777777" w:rsidR="008D2AB9" w:rsidRPr="000E6955" w:rsidRDefault="008D2AB9" w:rsidP="00BE61CD">
            <w:pPr>
              <w:pStyle w:val="CorpsTexteI10BT"/>
              <w:spacing w:before="60"/>
            </w:pPr>
            <w:r w:rsidRPr="000E6955">
              <w:t>Syndicat</w:t>
            </w:r>
          </w:p>
        </w:tc>
        <w:tc>
          <w:tcPr>
            <w:tcW w:w="4320" w:type="dxa"/>
            <w:gridSpan w:val="2"/>
            <w:tcBorders>
              <w:top w:val="single" w:sz="4" w:space="0" w:color="263F6A"/>
              <w:bottom w:val="dashed" w:sz="4" w:space="0" w:color="263F6A"/>
              <w:right w:val="nil"/>
            </w:tcBorders>
          </w:tcPr>
          <w:p w14:paraId="5BC8589D" w14:textId="77777777" w:rsidR="008D2AB9" w:rsidRPr="000E6955" w:rsidRDefault="008D2AB9" w:rsidP="00BE61CD">
            <w:pPr>
              <w:pStyle w:val="CorpsTexteI10BT"/>
              <w:spacing w:before="60"/>
            </w:pPr>
            <w:r w:rsidRPr="000E6955">
              <w:rPr>
                <w:b/>
              </w:rPr>
              <w:t>FO</w:t>
            </w:r>
          </w:p>
        </w:tc>
        <w:tc>
          <w:tcPr>
            <w:tcW w:w="3653" w:type="dxa"/>
            <w:gridSpan w:val="2"/>
            <w:tcBorders>
              <w:top w:val="single" w:sz="4" w:space="0" w:color="263F6A"/>
              <w:left w:val="nil"/>
              <w:bottom w:val="nil"/>
            </w:tcBorders>
          </w:tcPr>
          <w:p w14:paraId="2FFC6F6E" w14:textId="77777777" w:rsidR="008D2AB9" w:rsidRPr="000E6955" w:rsidRDefault="008D2AB9" w:rsidP="00BE61CD">
            <w:pPr>
              <w:pStyle w:val="CorpsTexteI10BT"/>
              <w:spacing w:before="60"/>
              <w:rPr>
                <w:highlight w:val="yellow"/>
              </w:rPr>
            </w:pPr>
          </w:p>
        </w:tc>
      </w:tr>
      <w:tr w:rsidR="008D2AB9" w:rsidRPr="000E6955" w14:paraId="05E4A10D" w14:textId="77777777" w:rsidTr="00BE61CD">
        <w:tblPrEx>
          <w:tblBorders>
            <w:insideH w:val="dashed" w:sz="4" w:space="0" w:color="263F6A"/>
          </w:tblBorders>
        </w:tblPrEx>
        <w:trPr>
          <w:cantSplit/>
          <w:trHeight w:val="1701"/>
          <w:jc w:val="left"/>
        </w:trPr>
        <w:tc>
          <w:tcPr>
            <w:tcW w:w="1837" w:type="dxa"/>
            <w:tcBorders>
              <w:top w:val="dashed" w:sz="4" w:space="0" w:color="263F6A"/>
            </w:tcBorders>
          </w:tcPr>
          <w:p w14:paraId="287E35D7" w14:textId="77777777" w:rsidR="008D2AB9" w:rsidRPr="000E6955" w:rsidRDefault="008D2AB9" w:rsidP="00BE61CD">
            <w:pPr>
              <w:pStyle w:val="CorpsTexteI10BT"/>
            </w:pPr>
            <w:r w:rsidRPr="000E6955">
              <w:t>Représenté par</w:t>
            </w:r>
          </w:p>
        </w:tc>
        <w:tc>
          <w:tcPr>
            <w:tcW w:w="4320" w:type="dxa"/>
            <w:gridSpan w:val="2"/>
            <w:tcBorders>
              <w:top w:val="dashed" w:sz="4" w:space="0" w:color="263F6A"/>
            </w:tcBorders>
          </w:tcPr>
          <w:p w14:paraId="0CE44503" w14:textId="726D717B" w:rsidR="008D2AB9" w:rsidRPr="000E6955" w:rsidRDefault="008D2AB9" w:rsidP="00BE61CD">
            <w:pPr>
              <w:pStyle w:val="CorpsTexteI10BT"/>
            </w:pPr>
          </w:p>
        </w:tc>
        <w:tc>
          <w:tcPr>
            <w:tcW w:w="363" w:type="dxa"/>
            <w:tcBorders>
              <w:top w:val="single" w:sz="4" w:space="0" w:color="auto"/>
              <w:bottom w:val="single" w:sz="4" w:space="0" w:color="263F6A"/>
              <w:right w:val="dashed" w:sz="2" w:space="0" w:color="auto"/>
            </w:tcBorders>
            <w:shd w:val="clear" w:color="auto" w:fill="BFBFBF" w:themeFill="background1" w:themeFillShade="BF"/>
            <w:textDirection w:val="btLr"/>
          </w:tcPr>
          <w:p w14:paraId="2C384EA5" w14:textId="77777777" w:rsidR="008D2AB9" w:rsidRPr="000E6955" w:rsidRDefault="008D2AB9" w:rsidP="00BE61CD">
            <w:pPr>
              <w:pStyle w:val="CorpsTexteI10BT"/>
              <w:spacing w:after="0"/>
              <w:jc w:val="center"/>
              <w:rPr>
                <w:sz w:val="12"/>
              </w:rPr>
            </w:pPr>
            <w:r w:rsidRPr="000E6955">
              <w:rPr>
                <w:sz w:val="12"/>
              </w:rPr>
              <w:t>Visa Electronique</w:t>
            </w:r>
          </w:p>
        </w:tc>
        <w:tc>
          <w:tcPr>
            <w:tcW w:w="3290" w:type="dxa"/>
            <w:tcBorders>
              <w:top w:val="single" w:sz="4" w:space="0" w:color="auto"/>
              <w:left w:val="dashed" w:sz="2" w:space="0" w:color="auto"/>
              <w:bottom w:val="single" w:sz="4" w:space="0" w:color="263F6A"/>
            </w:tcBorders>
          </w:tcPr>
          <w:p w14:paraId="072DDF85" w14:textId="77777777" w:rsidR="008D2AB9" w:rsidRPr="000E6955" w:rsidRDefault="008D2AB9" w:rsidP="00BE61CD">
            <w:pPr>
              <w:pStyle w:val="CorpsTexteI10BT"/>
              <w:jc w:val="center"/>
            </w:pPr>
          </w:p>
        </w:tc>
      </w:tr>
      <w:tr w:rsidR="008D2AB9" w:rsidRPr="000E6955" w14:paraId="29C274FB" w14:textId="77777777" w:rsidTr="00BE61CD">
        <w:tblPrEx>
          <w:tblBorders>
            <w:insideH w:val="dashed" w:sz="4" w:space="0" w:color="263F6A"/>
          </w:tblBorders>
        </w:tblPrEx>
        <w:trPr>
          <w:jc w:val="left"/>
        </w:trPr>
        <w:tc>
          <w:tcPr>
            <w:tcW w:w="1837" w:type="dxa"/>
            <w:tcBorders>
              <w:top w:val="single" w:sz="4" w:space="0" w:color="263F6A"/>
            </w:tcBorders>
          </w:tcPr>
          <w:p w14:paraId="2F0317E3" w14:textId="77777777" w:rsidR="008D2AB9" w:rsidRPr="000E6955" w:rsidRDefault="008D2AB9" w:rsidP="00BE61CD">
            <w:pPr>
              <w:pStyle w:val="CorpsTexteI10BT"/>
              <w:spacing w:before="60"/>
            </w:pPr>
            <w:r w:rsidRPr="000E6955">
              <w:t>Syndicat</w:t>
            </w:r>
          </w:p>
        </w:tc>
        <w:tc>
          <w:tcPr>
            <w:tcW w:w="4320" w:type="dxa"/>
            <w:gridSpan w:val="2"/>
            <w:tcBorders>
              <w:top w:val="single" w:sz="4" w:space="0" w:color="263F6A"/>
              <w:bottom w:val="dashed" w:sz="4" w:space="0" w:color="263F6A"/>
              <w:right w:val="nil"/>
            </w:tcBorders>
          </w:tcPr>
          <w:p w14:paraId="24B820BB" w14:textId="77777777" w:rsidR="008D2AB9" w:rsidRPr="000E6955" w:rsidRDefault="008D2AB9" w:rsidP="00BE61CD">
            <w:pPr>
              <w:pStyle w:val="CorpsTexteI10BT"/>
              <w:spacing w:before="60"/>
            </w:pPr>
            <w:r w:rsidRPr="000E6955">
              <w:rPr>
                <w:b/>
              </w:rPr>
              <w:t>F3C CFDT</w:t>
            </w:r>
          </w:p>
        </w:tc>
        <w:tc>
          <w:tcPr>
            <w:tcW w:w="3653" w:type="dxa"/>
            <w:gridSpan w:val="2"/>
            <w:tcBorders>
              <w:top w:val="single" w:sz="4" w:space="0" w:color="263F6A"/>
              <w:left w:val="nil"/>
              <w:bottom w:val="nil"/>
            </w:tcBorders>
          </w:tcPr>
          <w:p w14:paraId="46CC616D" w14:textId="77777777" w:rsidR="008D2AB9" w:rsidRPr="000E6955" w:rsidRDefault="008D2AB9" w:rsidP="00BE61CD">
            <w:pPr>
              <w:pStyle w:val="CorpsTexteI10BT"/>
              <w:spacing w:before="60"/>
              <w:rPr>
                <w:highlight w:val="yellow"/>
              </w:rPr>
            </w:pPr>
          </w:p>
        </w:tc>
      </w:tr>
      <w:tr w:rsidR="008D2AB9" w:rsidRPr="000E6955" w14:paraId="2FA66407" w14:textId="77777777" w:rsidTr="00BE61CD">
        <w:tblPrEx>
          <w:tblBorders>
            <w:insideH w:val="dashed" w:sz="4" w:space="0" w:color="263F6A"/>
          </w:tblBorders>
        </w:tblPrEx>
        <w:trPr>
          <w:cantSplit/>
          <w:trHeight w:val="1701"/>
          <w:jc w:val="left"/>
        </w:trPr>
        <w:tc>
          <w:tcPr>
            <w:tcW w:w="1837" w:type="dxa"/>
            <w:tcBorders>
              <w:top w:val="dashed" w:sz="4" w:space="0" w:color="263F6A"/>
            </w:tcBorders>
          </w:tcPr>
          <w:p w14:paraId="240E879E" w14:textId="77777777" w:rsidR="008D2AB9" w:rsidRPr="000E6955" w:rsidRDefault="008D2AB9" w:rsidP="00BE61CD">
            <w:pPr>
              <w:pStyle w:val="CorpsTexteI10BT"/>
            </w:pPr>
            <w:r w:rsidRPr="000E6955">
              <w:t>Représenté par</w:t>
            </w:r>
          </w:p>
        </w:tc>
        <w:tc>
          <w:tcPr>
            <w:tcW w:w="4320" w:type="dxa"/>
            <w:gridSpan w:val="2"/>
            <w:tcBorders>
              <w:top w:val="dashed" w:sz="4" w:space="0" w:color="263F6A"/>
            </w:tcBorders>
          </w:tcPr>
          <w:p w14:paraId="5C758858" w14:textId="6BA76D1F" w:rsidR="008D2AB9" w:rsidRPr="000E6955" w:rsidRDefault="008D2AB9" w:rsidP="00BE61CD">
            <w:pPr>
              <w:pStyle w:val="CorpsTexteI10BT"/>
            </w:pPr>
          </w:p>
        </w:tc>
        <w:tc>
          <w:tcPr>
            <w:tcW w:w="363" w:type="dxa"/>
            <w:tcBorders>
              <w:top w:val="single" w:sz="4" w:space="0" w:color="auto"/>
              <w:bottom w:val="single" w:sz="4" w:space="0" w:color="263F6A"/>
              <w:right w:val="dashed" w:sz="2" w:space="0" w:color="auto"/>
            </w:tcBorders>
            <w:shd w:val="clear" w:color="auto" w:fill="BFBFBF" w:themeFill="background1" w:themeFillShade="BF"/>
            <w:textDirection w:val="btLr"/>
          </w:tcPr>
          <w:p w14:paraId="23FC90E8" w14:textId="77777777" w:rsidR="008D2AB9" w:rsidRPr="000E6955" w:rsidRDefault="008D2AB9" w:rsidP="00BE61CD">
            <w:pPr>
              <w:pStyle w:val="CorpsTexteI10BT"/>
              <w:spacing w:after="0"/>
              <w:jc w:val="center"/>
              <w:rPr>
                <w:sz w:val="12"/>
              </w:rPr>
            </w:pPr>
            <w:r w:rsidRPr="000E6955">
              <w:rPr>
                <w:sz w:val="12"/>
              </w:rPr>
              <w:t>Visa Electronique</w:t>
            </w:r>
          </w:p>
        </w:tc>
        <w:tc>
          <w:tcPr>
            <w:tcW w:w="3290" w:type="dxa"/>
            <w:tcBorders>
              <w:top w:val="single" w:sz="4" w:space="0" w:color="auto"/>
              <w:left w:val="dashed" w:sz="2" w:space="0" w:color="auto"/>
              <w:bottom w:val="single" w:sz="4" w:space="0" w:color="263F6A"/>
            </w:tcBorders>
          </w:tcPr>
          <w:p w14:paraId="2B4FCE34" w14:textId="77777777" w:rsidR="008D2AB9" w:rsidRPr="000E6955" w:rsidRDefault="008D2AB9" w:rsidP="00BE61CD">
            <w:pPr>
              <w:pStyle w:val="CorpsTexteI10BT"/>
              <w:jc w:val="center"/>
            </w:pPr>
          </w:p>
        </w:tc>
      </w:tr>
    </w:tbl>
    <w:p w14:paraId="1D5830CB" w14:textId="77777777" w:rsidR="008D2AB9" w:rsidRPr="000E6955" w:rsidRDefault="008D2AB9" w:rsidP="008D2AB9"/>
    <w:sectPr w:rsidR="008D2AB9" w:rsidRPr="000E6955" w:rsidSect="00AA2838">
      <w:headerReference w:type="default" r:id="rId18"/>
      <w:footerReference w:type="default" r:id="rId19"/>
      <w:headerReference w:type="first" r:id="rId20"/>
      <w:footerReference w:type="first" r:id="rId21"/>
      <w:pgSz w:w="11906" w:h="16838"/>
      <w:pgMar w:top="1560" w:right="849" w:bottom="1258" w:left="1417" w:header="426"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531C6" w14:textId="77777777" w:rsidR="00D20A5F" w:rsidRDefault="00D20A5F" w:rsidP="00935FCC">
      <w:pPr>
        <w:spacing w:after="0"/>
      </w:pPr>
      <w:r>
        <w:separator/>
      </w:r>
    </w:p>
  </w:endnote>
  <w:endnote w:type="continuationSeparator" w:id="0">
    <w:p w14:paraId="7F85D7B9" w14:textId="77777777" w:rsidR="00D20A5F" w:rsidRDefault="00D20A5F" w:rsidP="00935F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1" w:type="dxa"/>
      <w:jc w:val="center"/>
      <w:tblLook w:val="04A0" w:firstRow="1" w:lastRow="0" w:firstColumn="1" w:lastColumn="0" w:noHBand="0" w:noVBand="1"/>
    </w:tblPr>
    <w:tblGrid>
      <w:gridCol w:w="3164"/>
      <w:gridCol w:w="3165"/>
      <w:gridCol w:w="3702"/>
    </w:tblGrid>
    <w:tr w:rsidR="00131862" w:rsidRPr="00743F49" w14:paraId="55AB74FB" w14:textId="77777777" w:rsidTr="00BE61CD">
      <w:trPr>
        <w:trHeight w:val="567"/>
        <w:jc w:val="center"/>
      </w:trPr>
      <w:tc>
        <w:tcPr>
          <w:tcW w:w="3164" w:type="dxa"/>
        </w:tcPr>
        <w:p w14:paraId="353E174E" w14:textId="029196AD" w:rsidR="00131862" w:rsidRPr="00743F49" w:rsidRDefault="00131862" w:rsidP="00B30257">
          <w:pPr>
            <w:pStyle w:val="CorpsTexteI10BT"/>
            <w:jc w:val="center"/>
          </w:pPr>
        </w:p>
      </w:tc>
      <w:tc>
        <w:tcPr>
          <w:tcW w:w="3165" w:type="dxa"/>
        </w:tcPr>
        <w:p w14:paraId="2A10E7F3" w14:textId="264E1CAD" w:rsidR="00131862" w:rsidRPr="00B74DDD" w:rsidRDefault="00131862" w:rsidP="00B30257">
          <w:pPr>
            <w:pStyle w:val="CorpsTexteI10BT"/>
            <w:jc w:val="center"/>
          </w:pPr>
          <w:r>
            <w:rPr>
              <w:noProof/>
              <w:lang w:eastAsia="fr-FR"/>
            </w:rPr>
            <w:drawing>
              <wp:inline distT="0" distB="0" distL="0" distR="0" wp14:anchorId="77F4BE75" wp14:editId="3AB13F0F">
                <wp:extent cx="1187450" cy="400050"/>
                <wp:effectExtent l="0" t="0" r="0" b="0"/>
                <wp:docPr id="15" name="Image 15" descr="cid:image001.jpg@01D86A0F.B3FBD8B0">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1" name="Image 1" descr="cid:image001.jpg@01D86A0F.B3FBD8B0">
                          <a:hlinkClick r:id="rId1"/>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7450" cy="400050"/>
                        </a:xfrm>
                        <a:prstGeom prst="rect">
                          <a:avLst/>
                        </a:prstGeom>
                        <a:noFill/>
                        <a:ln>
                          <a:noFill/>
                        </a:ln>
                      </pic:spPr>
                    </pic:pic>
                  </a:graphicData>
                </a:graphic>
              </wp:inline>
            </w:drawing>
          </w:r>
        </w:p>
      </w:tc>
      <w:tc>
        <w:tcPr>
          <w:tcW w:w="3702" w:type="dxa"/>
          <w:vAlign w:val="center"/>
        </w:tcPr>
        <w:p w14:paraId="659F1C3C" w14:textId="3F092DFA" w:rsidR="00131862" w:rsidRPr="002946D4" w:rsidRDefault="00131862" w:rsidP="00B30257">
          <w:pPr>
            <w:pStyle w:val="CorpsTexteI10BT"/>
            <w:jc w:val="right"/>
            <w:rPr>
              <w:sz w:val="18"/>
              <w:szCs w:val="18"/>
            </w:rPr>
          </w:pPr>
          <w:r w:rsidRPr="002946D4">
            <w:rPr>
              <w:sz w:val="18"/>
              <w:szCs w:val="18"/>
            </w:rPr>
            <w:fldChar w:fldCharType="begin"/>
          </w:r>
          <w:r w:rsidRPr="002946D4">
            <w:rPr>
              <w:sz w:val="18"/>
              <w:szCs w:val="18"/>
            </w:rPr>
            <w:instrText xml:space="preserve"> REF NumDoc \h  \* MERGEFORMAT </w:instrText>
          </w:r>
          <w:r w:rsidRPr="002946D4">
            <w:rPr>
              <w:sz w:val="18"/>
              <w:szCs w:val="18"/>
            </w:rPr>
          </w:r>
          <w:r w:rsidRPr="002946D4">
            <w:rPr>
              <w:sz w:val="18"/>
              <w:szCs w:val="18"/>
            </w:rPr>
            <w:fldChar w:fldCharType="separate"/>
          </w:r>
          <w:r w:rsidRPr="00131862">
            <w:rPr>
              <w:sz w:val="18"/>
              <w:szCs w:val="18"/>
            </w:rPr>
            <w:t xml:space="preserve">Réf. : BT.A041-01fr </w:t>
          </w:r>
          <w:r w:rsidRPr="002946D4">
            <w:rPr>
              <w:sz w:val="18"/>
              <w:szCs w:val="18"/>
            </w:rPr>
            <w:fldChar w:fldCharType="end"/>
          </w:r>
        </w:p>
        <w:p w14:paraId="240B042A" w14:textId="35E63E6C" w:rsidR="00131862" w:rsidRPr="002946D4" w:rsidRDefault="00131862" w:rsidP="00B30257">
          <w:pPr>
            <w:pStyle w:val="CorpsTexteI10BT"/>
            <w:jc w:val="right"/>
            <w:rPr>
              <w:sz w:val="18"/>
              <w:szCs w:val="18"/>
            </w:rPr>
          </w:pPr>
          <w:r w:rsidRPr="002946D4">
            <w:rPr>
              <w:sz w:val="18"/>
              <w:szCs w:val="18"/>
            </w:rPr>
            <w:t xml:space="preserve">Page </w:t>
          </w:r>
          <w:r w:rsidRPr="002946D4">
            <w:rPr>
              <w:sz w:val="18"/>
              <w:szCs w:val="18"/>
            </w:rPr>
            <w:fldChar w:fldCharType="begin"/>
          </w:r>
          <w:r w:rsidRPr="002946D4">
            <w:rPr>
              <w:sz w:val="18"/>
              <w:szCs w:val="18"/>
            </w:rPr>
            <w:instrText xml:space="preserve"> PAGE   \* MERGEFORMAT </w:instrText>
          </w:r>
          <w:r w:rsidRPr="002946D4">
            <w:rPr>
              <w:sz w:val="18"/>
              <w:szCs w:val="18"/>
            </w:rPr>
            <w:fldChar w:fldCharType="separate"/>
          </w:r>
          <w:r>
            <w:rPr>
              <w:noProof/>
              <w:sz w:val="18"/>
              <w:szCs w:val="18"/>
            </w:rPr>
            <w:t>20</w:t>
          </w:r>
          <w:r w:rsidRPr="002946D4">
            <w:rPr>
              <w:sz w:val="18"/>
              <w:szCs w:val="18"/>
            </w:rPr>
            <w:fldChar w:fldCharType="end"/>
          </w:r>
          <w:r w:rsidRPr="002946D4">
            <w:rPr>
              <w:sz w:val="18"/>
              <w:szCs w:val="18"/>
            </w:rPr>
            <w:t>/</w:t>
          </w:r>
          <w:r w:rsidRPr="002946D4">
            <w:rPr>
              <w:sz w:val="18"/>
              <w:szCs w:val="18"/>
            </w:rPr>
            <w:fldChar w:fldCharType="begin"/>
          </w:r>
          <w:r w:rsidRPr="002946D4">
            <w:rPr>
              <w:sz w:val="18"/>
              <w:szCs w:val="18"/>
            </w:rPr>
            <w:instrText xml:space="preserve"> NUMPAGES   \* MERGEFORMAT </w:instrText>
          </w:r>
          <w:r w:rsidRPr="002946D4">
            <w:rPr>
              <w:sz w:val="18"/>
              <w:szCs w:val="18"/>
            </w:rPr>
            <w:fldChar w:fldCharType="separate"/>
          </w:r>
          <w:r>
            <w:rPr>
              <w:noProof/>
              <w:sz w:val="18"/>
              <w:szCs w:val="18"/>
            </w:rPr>
            <w:t>21</w:t>
          </w:r>
          <w:r w:rsidRPr="002946D4">
            <w:rPr>
              <w:sz w:val="18"/>
              <w:szCs w:val="18"/>
            </w:rPr>
            <w:fldChar w:fldCharType="end"/>
          </w:r>
        </w:p>
      </w:tc>
    </w:tr>
  </w:tbl>
  <w:p w14:paraId="7078B62F" w14:textId="6C5E07B7" w:rsidR="00131862" w:rsidRPr="00B30257" w:rsidRDefault="00131862" w:rsidP="00B30257">
    <w:pPr>
      <w:pStyle w:val="CorpsTexteI10BT"/>
      <w:jc w:val="center"/>
      <w:rPr>
        <w:sz w:val="12"/>
        <w:szCs w:val="12"/>
      </w:rPr>
    </w:pPr>
    <w:r w:rsidRPr="005C07E0">
      <w:rPr>
        <w:sz w:val="12"/>
        <w:szCs w:val="12"/>
      </w:rPr>
      <w:t>Ce document, propriété de Bertin Technologies, ne peut être utilisé, reproduit ou communiqué sans son autorisation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1" w:type="dxa"/>
      <w:jc w:val="center"/>
      <w:tblLook w:val="04A0" w:firstRow="1" w:lastRow="0" w:firstColumn="1" w:lastColumn="0" w:noHBand="0" w:noVBand="1"/>
    </w:tblPr>
    <w:tblGrid>
      <w:gridCol w:w="10031"/>
    </w:tblGrid>
    <w:tr w:rsidR="00131862" w:rsidRPr="00743F49" w14:paraId="31147E74" w14:textId="77777777" w:rsidTr="00BE61CD">
      <w:trPr>
        <w:trHeight w:val="567"/>
        <w:jc w:val="center"/>
      </w:trPr>
      <w:tc>
        <w:tcPr>
          <w:tcW w:w="10031" w:type="dxa"/>
        </w:tcPr>
        <w:p w14:paraId="5E20EB93" w14:textId="77777777" w:rsidR="00131862" w:rsidRDefault="00131862" w:rsidP="00B30257">
          <w:pPr>
            <w:pStyle w:val="CorpsTexteI10BT"/>
            <w:jc w:val="right"/>
            <w:rPr>
              <w:sz w:val="18"/>
              <w:szCs w:val="18"/>
            </w:rPr>
          </w:pPr>
        </w:p>
        <w:p w14:paraId="2FFA517A" w14:textId="53DC2FE8" w:rsidR="00131862" w:rsidRPr="002946D4" w:rsidRDefault="00131862" w:rsidP="00B30257">
          <w:pPr>
            <w:pStyle w:val="CorpsTexteI10BT"/>
            <w:jc w:val="right"/>
            <w:rPr>
              <w:sz w:val="18"/>
              <w:szCs w:val="18"/>
            </w:rPr>
          </w:pPr>
          <w:r w:rsidRPr="002946D4">
            <w:rPr>
              <w:sz w:val="18"/>
              <w:szCs w:val="18"/>
            </w:rPr>
            <w:t xml:space="preserve">Page </w:t>
          </w:r>
          <w:r w:rsidRPr="002946D4">
            <w:rPr>
              <w:sz w:val="18"/>
              <w:szCs w:val="18"/>
            </w:rPr>
            <w:fldChar w:fldCharType="begin"/>
          </w:r>
          <w:r w:rsidRPr="002946D4">
            <w:rPr>
              <w:sz w:val="18"/>
              <w:szCs w:val="18"/>
            </w:rPr>
            <w:instrText xml:space="preserve"> PAGE   \* MERGEFORMAT </w:instrText>
          </w:r>
          <w:r w:rsidRPr="002946D4">
            <w:rPr>
              <w:sz w:val="18"/>
              <w:szCs w:val="18"/>
            </w:rPr>
            <w:fldChar w:fldCharType="separate"/>
          </w:r>
          <w:r>
            <w:rPr>
              <w:noProof/>
              <w:sz w:val="18"/>
              <w:szCs w:val="18"/>
            </w:rPr>
            <w:t>1</w:t>
          </w:r>
          <w:r w:rsidRPr="002946D4">
            <w:rPr>
              <w:sz w:val="18"/>
              <w:szCs w:val="18"/>
            </w:rPr>
            <w:fldChar w:fldCharType="end"/>
          </w:r>
          <w:r w:rsidRPr="002946D4">
            <w:rPr>
              <w:sz w:val="18"/>
              <w:szCs w:val="18"/>
            </w:rPr>
            <w:t>/</w:t>
          </w:r>
          <w:r w:rsidRPr="002946D4">
            <w:rPr>
              <w:sz w:val="18"/>
              <w:szCs w:val="18"/>
            </w:rPr>
            <w:fldChar w:fldCharType="begin"/>
          </w:r>
          <w:r w:rsidRPr="002946D4">
            <w:rPr>
              <w:sz w:val="18"/>
              <w:szCs w:val="18"/>
            </w:rPr>
            <w:instrText xml:space="preserve"> NUMPAGES   \* MERGEFORMAT </w:instrText>
          </w:r>
          <w:r w:rsidRPr="002946D4">
            <w:rPr>
              <w:sz w:val="18"/>
              <w:szCs w:val="18"/>
            </w:rPr>
            <w:fldChar w:fldCharType="separate"/>
          </w:r>
          <w:r>
            <w:rPr>
              <w:noProof/>
              <w:sz w:val="18"/>
              <w:szCs w:val="18"/>
            </w:rPr>
            <w:t>21</w:t>
          </w:r>
          <w:r w:rsidRPr="002946D4">
            <w:rPr>
              <w:sz w:val="18"/>
              <w:szCs w:val="18"/>
            </w:rPr>
            <w:fldChar w:fldCharType="end"/>
          </w:r>
        </w:p>
      </w:tc>
    </w:tr>
  </w:tbl>
  <w:p w14:paraId="7A43E667" w14:textId="77777777" w:rsidR="00131862" w:rsidRPr="0029229F" w:rsidRDefault="00131862" w:rsidP="00B30257">
    <w:pPr>
      <w:pStyle w:val="a7"/>
      <w:jc w:val="center"/>
      <w:rPr>
        <w:sz w:val="12"/>
        <w:szCs w:val="12"/>
      </w:rPr>
    </w:pPr>
    <w:r w:rsidRPr="0029229F">
      <w:rPr>
        <w:sz w:val="12"/>
        <w:szCs w:val="12"/>
      </w:rPr>
      <w:t>Ce document, propriété de Bertin Technologies, ne peut être utilisé, reproduit ou communiqué sans son autorisation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DC0E1" w14:textId="77777777" w:rsidR="00D20A5F" w:rsidRDefault="00D20A5F" w:rsidP="00935FCC">
      <w:pPr>
        <w:spacing w:after="0"/>
      </w:pPr>
      <w:r>
        <w:separator/>
      </w:r>
    </w:p>
  </w:footnote>
  <w:footnote w:type="continuationSeparator" w:id="0">
    <w:p w14:paraId="34C9008F" w14:textId="77777777" w:rsidR="00D20A5F" w:rsidRDefault="00D20A5F" w:rsidP="00935FCC">
      <w:pPr>
        <w:spacing w:after="0"/>
      </w:pPr>
      <w:r>
        <w:continuationSeparator/>
      </w:r>
    </w:p>
  </w:footnote>
  <w:footnote w:id="1">
    <w:p w14:paraId="7153D6AC" w14:textId="69688267" w:rsidR="00131862" w:rsidRDefault="00131862">
      <w:pPr>
        <w:pStyle w:val="ad"/>
      </w:pPr>
      <w:r>
        <w:rPr>
          <w:rStyle w:val="ae"/>
        </w:rPr>
        <w:footnoteRef/>
      </w:r>
      <w:r>
        <w:t xml:space="preserve"> </w:t>
      </w:r>
      <w:hyperlink r:id="rId1" w:history="1">
        <w:r w:rsidRPr="004B6320">
          <w:rPr>
            <w:rStyle w:val="-"/>
          </w:rPr>
          <w:t>Loi du 17 août 2015</w:t>
        </w:r>
      </w:hyperlink>
    </w:p>
  </w:footnote>
  <w:footnote w:id="2">
    <w:p w14:paraId="3E1CE846" w14:textId="3CCFC018" w:rsidR="00131862" w:rsidRDefault="00131862">
      <w:pPr>
        <w:pStyle w:val="ad"/>
      </w:pPr>
      <w:r>
        <w:rPr>
          <w:rStyle w:val="ae"/>
        </w:rPr>
        <w:footnoteRef/>
      </w:r>
      <w:r>
        <w:t xml:space="preserve"> Code du Travail : </w:t>
      </w:r>
      <w:hyperlink r:id="rId2" w:history="1">
        <w:r w:rsidRPr="006D2512">
          <w:rPr>
            <w:rStyle w:val="-"/>
          </w:rPr>
          <w:t>Article L2242-17</w:t>
        </w:r>
      </w:hyperlink>
    </w:p>
  </w:footnote>
  <w:footnote w:id="3">
    <w:p w14:paraId="7CC9AC69" w14:textId="763FEEB5" w:rsidR="00131862" w:rsidRDefault="00131862">
      <w:pPr>
        <w:pStyle w:val="ad"/>
      </w:pPr>
      <w:r>
        <w:rPr>
          <w:rStyle w:val="ae"/>
        </w:rPr>
        <w:footnoteRef/>
      </w:r>
      <w:r>
        <w:t xml:space="preserve"> Procédure </w:t>
      </w:r>
      <w:r w:rsidR="000E6955">
        <w:t>« </w:t>
      </w:r>
      <w:r>
        <w:t>Gérer les cas d’urgence et les situations dangereuses</w:t>
      </w:r>
      <w:r w:rsidR="000E6955">
        <w:t> »</w:t>
      </w:r>
      <w:r>
        <w:t xml:space="preserve"> : Cf. </w:t>
      </w:r>
      <w:hyperlink r:id="rId3" w:history="1">
        <w:r w:rsidRPr="00471F8A">
          <w:rPr>
            <w:rStyle w:val="-"/>
          </w:rPr>
          <w:t>BT.P039</w:t>
        </w:r>
      </w:hyperlink>
      <w:r>
        <w:t>.</w:t>
      </w:r>
    </w:p>
  </w:footnote>
  <w:footnote w:id="4">
    <w:p w14:paraId="2E55395C" w14:textId="21499E1E" w:rsidR="00131862" w:rsidRDefault="00131862">
      <w:pPr>
        <w:pStyle w:val="ad"/>
      </w:pPr>
      <w:r>
        <w:rPr>
          <w:rStyle w:val="ae"/>
        </w:rPr>
        <w:footnoteRef/>
      </w:r>
      <w:r>
        <w:t xml:space="preserve"> </w:t>
      </w:r>
      <w:r w:rsidRPr="005C1CB6">
        <w:rPr>
          <w:sz w:val="18"/>
        </w:rPr>
        <w:t xml:space="preserve">Charte « Télétravail » : Cf. </w:t>
      </w:r>
      <w:hyperlink r:id="rId4" w:history="1">
        <w:r w:rsidRPr="005C1CB6">
          <w:rPr>
            <w:rStyle w:val="-"/>
            <w:sz w:val="18"/>
          </w:rPr>
          <w:t>BT.A031</w:t>
        </w:r>
      </w:hyperlink>
    </w:p>
  </w:footnote>
  <w:footnote w:id="5">
    <w:p w14:paraId="3063DD73" w14:textId="2D6E7F5A" w:rsidR="00131862" w:rsidRDefault="00131862">
      <w:pPr>
        <w:pStyle w:val="ad"/>
      </w:pPr>
      <w:r>
        <w:rPr>
          <w:rStyle w:val="ae"/>
        </w:rPr>
        <w:footnoteRef/>
      </w:r>
      <w:r>
        <w:t xml:space="preserve"> </w:t>
      </w:r>
      <w:r w:rsidR="009E1426" w:rsidRPr="009E1426">
        <w:t xml:space="preserve">Procédure </w:t>
      </w:r>
      <w:r w:rsidR="009E1426">
        <w:t>« </w:t>
      </w:r>
      <w:r w:rsidR="009E1426" w:rsidRPr="009E1426">
        <w:t>Gérer les Compétences</w:t>
      </w:r>
      <w:r w:rsidR="009E1426">
        <w:t> » : Cf.</w:t>
      </w:r>
      <w:hyperlink r:id="rId5" w:history="1">
        <w:r w:rsidRPr="004E7FDD">
          <w:rPr>
            <w:rStyle w:val="-"/>
          </w:rPr>
          <w:t xml:space="preserve"> BT.P010</w:t>
        </w:r>
      </w:hyperlink>
    </w:p>
  </w:footnote>
  <w:footnote w:id="6">
    <w:p w14:paraId="4B43CA16" w14:textId="77777777" w:rsidR="00131862" w:rsidRDefault="00131862" w:rsidP="00D2499C">
      <w:pPr>
        <w:pStyle w:val="ad"/>
      </w:pPr>
      <w:r>
        <w:rPr>
          <w:rStyle w:val="ae"/>
        </w:rPr>
        <w:footnoteRef/>
      </w:r>
      <w:r>
        <w:t xml:space="preserve"> </w:t>
      </w:r>
      <w:hyperlink r:id="rId6" w:history="1">
        <w:r w:rsidRPr="005B2E0F">
          <w:rPr>
            <w:rStyle w:val="-"/>
          </w:rPr>
          <w:t>Loi du 5 septembre 2018</w:t>
        </w:r>
      </w:hyperlink>
      <w:r>
        <w:t>.</w:t>
      </w:r>
    </w:p>
  </w:footnote>
  <w:footnote w:id="7">
    <w:p w14:paraId="633F279B" w14:textId="51BF3F2D" w:rsidR="00131862" w:rsidRDefault="00131862">
      <w:pPr>
        <w:pStyle w:val="ad"/>
      </w:pPr>
      <w:r>
        <w:rPr>
          <w:rStyle w:val="ae"/>
        </w:rPr>
        <w:footnoteRef/>
      </w:r>
      <w:r>
        <w:t xml:space="preserve"> </w:t>
      </w:r>
      <w:r w:rsidR="003D28E8" w:rsidRPr="003D28E8">
        <w:t xml:space="preserve">Procédure </w:t>
      </w:r>
      <w:r w:rsidR="003D28E8">
        <w:t>« </w:t>
      </w:r>
      <w:r w:rsidR="003D28E8" w:rsidRPr="003D28E8">
        <w:t>Intégrer un collaborateur</w:t>
      </w:r>
      <w:r w:rsidR="003D28E8">
        <w:t xml:space="preserve"> » : Cf. </w:t>
      </w:r>
      <w:hyperlink r:id="rId7" w:history="1">
        <w:r w:rsidRPr="00BB69DE">
          <w:rPr>
            <w:rStyle w:val="-"/>
          </w:rPr>
          <w:t>BT.P</w:t>
        </w:r>
        <w:r w:rsidR="003D28E8">
          <w:rPr>
            <w:rStyle w:val="-"/>
          </w:rPr>
          <w:t>0</w:t>
        </w:r>
        <w:r w:rsidRPr="00BB69DE">
          <w:rPr>
            <w:rStyle w:val="-"/>
          </w:rPr>
          <w:t>26</w:t>
        </w:r>
      </w:hyperlink>
    </w:p>
  </w:footnote>
  <w:footnote w:id="8">
    <w:p w14:paraId="750F0B6A" w14:textId="2D2EC594" w:rsidR="00131862" w:rsidRDefault="00131862">
      <w:pPr>
        <w:pStyle w:val="ad"/>
      </w:pPr>
      <w:r>
        <w:rPr>
          <w:rStyle w:val="ae"/>
        </w:rPr>
        <w:footnoteRef/>
      </w:r>
      <w:r>
        <w:t xml:space="preserve"> </w:t>
      </w:r>
      <w:r w:rsidR="003D28E8" w:rsidRPr="003D28E8">
        <w:t>Politique RH</w:t>
      </w:r>
      <w:r w:rsidR="003D28E8">
        <w:t xml:space="preserve"> : Cf. </w:t>
      </w:r>
      <w:hyperlink r:id="rId8" w:history="1">
        <w:r w:rsidRPr="00F30C85">
          <w:rPr>
            <w:rStyle w:val="-"/>
          </w:rPr>
          <w:t>BT.NS137</w:t>
        </w:r>
      </w:hyperlink>
    </w:p>
  </w:footnote>
  <w:footnote w:id="9">
    <w:p w14:paraId="042018F1" w14:textId="3AD80AA9" w:rsidR="00131862" w:rsidRDefault="00131862">
      <w:pPr>
        <w:pStyle w:val="ad"/>
      </w:pPr>
      <w:r>
        <w:rPr>
          <w:rStyle w:val="ae"/>
        </w:rPr>
        <w:footnoteRef/>
      </w:r>
      <w:r>
        <w:t xml:space="preserve"> D’autres indicateurs seront intégrés dans le bilan : Accident du Travail, maladie, variation de l’effectif, …</w:t>
      </w:r>
    </w:p>
  </w:footnote>
  <w:footnote w:id="10">
    <w:p w14:paraId="6720D58F" w14:textId="390FEA86" w:rsidR="00131862" w:rsidRPr="000A534E" w:rsidRDefault="00131862" w:rsidP="008D2AB9">
      <w:pPr>
        <w:pStyle w:val="ad"/>
        <w:rPr>
          <w:sz w:val="18"/>
        </w:rPr>
      </w:pPr>
      <w:r w:rsidRPr="000A534E">
        <w:rPr>
          <w:rStyle w:val="ae"/>
          <w:sz w:val="18"/>
        </w:rPr>
        <w:footnoteRef/>
      </w:r>
      <w:r w:rsidRPr="000A534E">
        <w:rPr>
          <w:sz w:val="18"/>
        </w:rPr>
        <w:t xml:space="preserve"> Code du Travail : Articles </w:t>
      </w:r>
      <w:hyperlink r:id="rId9" w:history="1">
        <w:r w:rsidRPr="00856626">
          <w:rPr>
            <w:rStyle w:val="-"/>
            <w:sz w:val="18"/>
          </w:rPr>
          <w:t>L2231-6</w:t>
        </w:r>
      </w:hyperlink>
      <w:r w:rsidRPr="000A534E">
        <w:rPr>
          <w:sz w:val="18"/>
        </w:rPr>
        <w:t xml:space="preserve"> et </w:t>
      </w:r>
      <w:hyperlink r:id="rId10" w:history="1">
        <w:r w:rsidRPr="000A534E">
          <w:rPr>
            <w:rStyle w:val="-"/>
            <w:sz w:val="18"/>
          </w:rPr>
          <w:t>D2231-7</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9C9EB" w14:textId="36C15A3D" w:rsidR="00131862" w:rsidRPr="00AA2838" w:rsidRDefault="00131862" w:rsidP="00AA2838">
    <w:pPr>
      <w:pStyle w:val="CorpsTexteI10BT"/>
      <w:jc w:val="right"/>
      <w:rPr>
        <w:noProof/>
      </w:rPr>
    </w:pPr>
    <w:r w:rsidRPr="00AA2838">
      <w:rPr>
        <w:noProof/>
        <w:lang w:eastAsia="fr-FR"/>
      </w:rPr>
      <w:drawing>
        <wp:anchor distT="0" distB="0" distL="114300" distR="114300" simplePos="0" relativeHeight="251669504" behindDoc="0" locked="0" layoutInCell="1" allowOverlap="1" wp14:anchorId="241421AD" wp14:editId="335CB381">
          <wp:simplePos x="0" y="0"/>
          <wp:positionH relativeFrom="column">
            <wp:posOffset>-66</wp:posOffset>
          </wp:positionH>
          <wp:positionV relativeFrom="paragraph">
            <wp:posOffset>-61131</wp:posOffset>
          </wp:positionV>
          <wp:extent cx="493821" cy="468000"/>
          <wp:effectExtent l="0" t="0" r="1905" b="8255"/>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93821" cy="468000"/>
                  </a:xfrm>
                  <a:prstGeom prst="rect">
                    <a:avLst/>
                  </a:prstGeom>
                </pic:spPr>
              </pic:pic>
            </a:graphicData>
          </a:graphic>
        </wp:anchor>
      </w:drawing>
    </w:r>
    <w:r w:rsidRPr="00AA2838">
      <w:rPr>
        <w:noProof/>
      </w:rPr>
      <w:fldChar w:fldCharType="begin"/>
    </w:r>
    <w:r w:rsidRPr="00AA2838">
      <w:rPr>
        <w:noProof/>
      </w:rPr>
      <w:instrText xml:space="preserve"> REF NumDoc \h  \* MERGEFORMAT </w:instrText>
    </w:r>
    <w:r w:rsidRPr="00AA2838">
      <w:rPr>
        <w:noProof/>
      </w:rPr>
    </w:r>
    <w:r w:rsidRPr="00AA2838">
      <w:rPr>
        <w:noProof/>
      </w:rPr>
      <w:fldChar w:fldCharType="separate"/>
    </w:r>
    <w:r w:rsidRPr="00131862">
      <w:t xml:space="preserve">Réf. : </w:t>
    </w:r>
    <w:r w:rsidRPr="00131862">
      <w:rPr>
        <w:bCs/>
      </w:rPr>
      <w:t xml:space="preserve">BT.A041-01fr </w:t>
    </w:r>
    <w:r w:rsidRPr="00AA2838">
      <w:rPr>
        <w:noProof/>
      </w:rPr>
      <w:fldChar w:fldCharType="end"/>
    </w:r>
    <w:r w:rsidRPr="00AA2838">
      <w:rPr>
        <w:noProof/>
      </w:rPr>
      <w:t xml:space="preserve"> </w:t>
    </w:r>
  </w:p>
  <w:p w14:paraId="23B3E27D" w14:textId="55A7C9CD" w:rsidR="00131862" w:rsidRDefault="00131862" w:rsidP="00B30257">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F9E11" w14:textId="77777777" w:rsidR="00131862" w:rsidRDefault="00131862" w:rsidP="00AA2838">
    <w:pPr>
      <w:spacing w:before="120"/>
      <w:jc w:val="center"/>
    </w:pPr>
    <w:bookmarkStart w:id="68" w:name="_Hlk102641986"/>
    <w:bookmarkStart w:id="69" w:name="_Hlk102641987"/>
    <w:r w:rsidRPr="00DD7DC2">
      <w:rPr>
        <w:noProof/>
      </w:rPr>
      <w:drawing>
        <wp:anchor distT="0" distB="0" distL="114300" distR="114300" simplePos="0" relativeHeight="251666432" behindDoc="0" locked="0" layoutInCell="1" allowOverlap="1" wp14:anchorId="4EDFC785" wp14:editId="79F60EE2">
          <wp:simplePos x="0" y="0"/>
          <wp:positionH relativeFrom="margin">
            <wp:posOffset>0</wp:posOffset>
          </wp:positionH>
          <wp:positionV relativeFrom="paragraph">
            <wp:posOffset>0</wp:posOffset>
          </wp:positionV>
          <wp:extent cx="1617076" cy="485775"/>
          <wp:effectExtent l="0" t="0" r="2540" b="0"/>
          <wp:wrapNone/>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17076" cy="485775"/>
                  </a:xfrm>
                  <a:prstGeom prst="rect">
                    <a:avLst/>
                  </a:prstGeom>
                  <a:noFill/>
                  <a:ln>
                    <a:noFill/>
                  </a:ln>
                </pic:spPr>
              </pic:pic>
            </a:graphicData>
          </a:graphic>
        </wp:anchor>
      </w:drawing>
    </w:r>
    <w:r w:rsidRPr="00DD7DC2">
      <w:rPr>
        <w:noProof/>
      </w:rPr>
      <mc:AlternateContent>
        <mc:Choice Requires="wps">
          <w:drawing>
            <wp:anchor distT="0" distB="0" distL="114300" distR="114300" simplePos="0" relativeHeight="251667456" behindDoc="0" locked="0" layoutInCell="1" allowOverlap="1" wp14:anchorId="6FA5DE92" wp14:editId="49588B96">
              <wp:simplePos x="0" y="0"/>
              <wp:positionH relativeFrom="column">
                <wp:posOffset>1881505</wp:posOffset>
              </wp:positionH>
              <wp:positionV relativeFrom="paragraph">
                <wp:posOffset>301625</wp:posOffset>
              </wp:positionV>
              <wp:extent cx="4216641" cy="0"/>
              <wp:effectExtent l="0" t="19050" r="31750" b="19050"/>
              <wp:wrapNone/>
              <wp:docPr id="6" name="Connecteur droit 6"/>
              <wp:cNvGraphicFramePr/>
              <a:graphic xmlns:a="http://schemas.openxmlformats.org/drawingml/2006/main">
                <a:graphicData uri="http://schemas.microsoft.com/office/word/2010/wordprocessingShape">
                  <wps:wsp>
                    <wps:cNvCnPr/>
                    <wps:spPr>
                      <a:xfrm>
                        <a:off x="0" y="0"/>
                        <a:ext cx="4216641" cy="0"/>
                      </a:xfrm>
                      <a:prstGeom prst="line">
                        <a:avLst/>
                      </a:prstGeom>
                      <a:ln w="28575">
                        <a:solidFill>
                          <a:srgbClr val="0F1DE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from="148.15pt,23.75pt" id="Connecteur droit 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l7Q+3AEAAAwEAAAOAAAAZHJzL2Uyb0RvYy54bWysU02P2jAQvVfqf7B8LyFol6KIsAcovVQt arc/wDhjsOQvjb0E/n3HDmRXbaXVVr04sWfem3nP4+XD2Rp2Aozau5bXkyln4KTvtDu0/Ofj9sOC s5iE64TxDlp+gcgfVu/fLfvQwMwfvekAGZG42PSh5ceUQlNVUR7BijjxARwFlUcrEm3xUHUoemK3 pppNp/Oq99gF9BJipNPNEOSrwq8UyPRNqQiJmZZTb6msWNZ9XqvVUjQHFOGo5bUN8Q9dWKEdFR2p NiIJ9oT6DyqrJfroVZpIbyuvlJZQNJCaevqbmh9HEaBoIXNiGG2K/49Wfj3tkOmu5XPOnLB0RWvv HPkGT8g69DqxeXapD7Gh5LXb4XUXww6z5LNCm78khp2Ls5fRWTgnJunwblbP53c1Z/IWq56BAWP6 DN6y/NNyo10WLRpx+hITFaPUW0o+No71LZ8t7j/el7Toje622pgcjHjYrw2yk8gXvq03nxa5e6J4 kUY74+gwaxpUlL90MTAU+A6KPKG+66FCnkYYaYWU4FJ95TWOsjNMUQsjcPo68JqfoVAm9S3gEVEq e5dGsNXO49+qp/OtZTXk3xwYdGcL9r67lPst1tDIFeeuzyPP9Mt9gT8/4tUvAAAA//8DAFBLAwQU AAYACAAAACEAPumBvd4AAAAJAQAADwAAAGRycy9kb3ducmV2LnhtbEyPwUrDQBCG74LvsIzgzW6M NW1iNkUEwVOhrdAet9kxG8zOhuymjT59Rzzocf75+OebcjW5TpxwCK0nBfezBARS7U1LjYL33evd EkSImozuPKGCLwywqq6vSl0Yf6YNnraxEVxCodAKbIx9IWWoLTodZr5H4t2HH5yOPA6NNIM+c7nr ZJokmXS6Jb5gdY8vFuvP7egUvOF+vx53+SIu5y4Pm2+bHg6TUrc30/MTiIhT/IPhR5/VoWKnox/J BNEpSPPsgVEF88UjCAbyLOHg+BvIqpT/P6guAAAA//8DAFBLAQItABQABgAIAAAAIQC2gziS/gAA AOEBAAATAAAAAAAAAAAAAAAAAAAAAABbQ29udGVudF9UeXBlc10ueG1sUEsBAi0AFAAGAAgAAAAh ADj9If/WAAAAlAEAAAsAAAAAAAAAAAAAAAAALwEAAF9yZWxzLy5yZWxzUEsBAi0AFAAGAAgAAAAh AJiXtD7cAQAADAQAAA4AAAAAAAAAAAAAAAAALgIAAGRycy9lMm9Eb2MueG1sUEsBAi0AFAAGAAgA AAAhAD7pgb3eAAAACQEAAA8AAAAAAAAAAAAAAAAANgQAAGRycy9kb3ducmV2LnhtbFBLBQYAAAAA BAAEAPMAAABBBQAAAAA= " o:spid="_x0000_s1026" strokecolor="#0f1de8" strokeweight="2.25pt"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to="480.15pt,23.75pt" w14:anchorId="171B1D54">
              <v:stroke joinstyle="miter"/>
            </v:line>
          </w:pict>
        </mc:Fallback>
      </mc:AlternateContent>
    </w:r>
    <w:bookmarkEnd w:id="68"/>
    <w:bookmarkEnd w:id="69"/>
  </w:p>
  <w:p w14:paraId="78694C29" w14:textId="77777777" w:rsidR="00131862" w:rsidRPr="00E40D89" w:rsidRDefault="00131862" w:rsidP="00AA2838">
    <w:pPr>
      <w:pStyle w:val="CorpsTexteI10B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12E95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15560"/>
    <w:multiLevelType w:val="multilevel"/>
    <w:tmpl w:val="AC72FC42"/>
    <w:lvl w:ilvl="0">
      <w:start w:val="1"/>
      <w:numFmt w:val="bullet"/>
      <w:pStyle w:val="a"/>
      <w:lvlText w:val=""/>
      <w:lvlJc w:val="left"/>
      <w:pPr>
        <w:tabs>
          <w:tab w:val="num" w:pos="397"/>
        </w:tabs>
        <w:ind w:left="397" w:hanging="397"/>
      </w:pPr>
      <w:rPr>
        <w:rFonts w:ascii="Wingdings 3" w:hAnsi="Wingdings 3" w:cs="Times New Roman" w:hint="default"/>
        <w:b w:val="0"/>
        <w:i w:val="0"/>
        <w:dstrike w:val="0"/>
        <w:color w:val="263F6A"/>
        <w:sz w:val="18"/>
        <w:szCs w:val="22"/>
        <w:vertAlign w:val="baseline"/>
      </w:rPr>
    </w:lvl>
    <w:lvl w:ilvl="1">
      <w:start w:val="1"/>
      <w:numFmt w:val="bullet"/>
      <w:lvlText w:val=""/>
      <w:lvlJc w:val="left"/>
      <w:pPr>
        <w:tabs>
          <w:tab w:val="num" w:pos="794"/>
        </w:tabs>
        <w:ind w:left="794" w:hanging="397"/>
      </w:pPr>
      <w:rPr>
        <w:rFonts w:ascii="Wingdings 3" w:hAnsi="Wingdings 3" w:cs="Times New Roman" w:hint="default"/>
        <w:color w:val="263F6A"/>
        <w:sz w:val="18"/>
        <w:szCs w:val="24"/>
      </w:rPr>
    </w:lvl>
    <w:lvl w:ilvl="2">
      <w:start w:val="1"/>
      <w:numFmt w:val="bullet"/>
      <w:lvlText w:val=""/>
      <w:lvlJc w:val="left"/>
      <w:pPr>
        <w:tabs>
          <w:tab w:val="num" w:pos="1191"/>
        </w:tabs>
        <w:ind w:left="1191" w:hanging="397"/>
      </w:pPr>
      <w:rPr>
        <w:rFonts w:ascii="Wingdings 3" w:hAnsi="Wingdings 3" w:cs="Times New Roman" w:hint="default"/>
        <w:caps w:val="0"/>
        <w:strike w:val="0"/>
        <w:dstrike w:val="0"/>
        <w:vanish w:val="0"/>
        <w:color w:val="263F6A"/>
        <w:sz w:val="18"/>
        <w:szCs w:val="20"/>
        <w:vertAlign w:val="baseline"/>
      </w:rPr>
    </w:lvl>
    <w:lvl w:ilvl="3">
      <w:start w:val="1"/>
      <w:numFmt w:val="bullet"/>
      <w:lvlText w:val=""/>
      <w:lvlJc w:val="left"/>
      <w:pPr>
        <w:tabs>
          <w:tab w:val="num" w:pos="1440"/>
        </w:tabs>
        <w:ind w:left="1440" w:hanging="360"/>
      </w:pPr>
      <w:rPr>
        <w:rFonts w:ascii="Wingdings 3" w:hAnsi="Wingdings 3" w:cs="Times New Roman" w:hint="default"/>
        <w:color w:val="263F7D"/>
        <w:sz w:val="18"/>
        <w:szCs w:val="18"/>
      </w:rPr>
    </w:lvl>
    <w:lvl w:ilvl="4">
      <w:start w:val="1"/>
      <w:numFmt w:val="bullet"/>
      <w:lvlText w:val=""/>
      <w:lvlJc w:val="left"/>
      <w:pPr>
        <w:tabs>
          <w:tab w:val="num" w:pos="1800"/>
        </w:tabs>
        <w:ind w:left="1800" w:hanging="360"/>
      </w:pPr>
      <w:rPr>
        <w:rFonts w:ascii="Wingdings 3" w:hAnsi="Wingdings 3" w:cs="Times New Roman" w:hint="default"/>
        <w:color w:val="263F6A"/>
      </w:rPr>
    </w:lvl>
    <w:lvl w:ilvl="5">
      <w:start w:val="1"/>
      <w:numFmt w:val="bullet"/>
      <w:lvlText w:val=""/>
      <w:lvlJc w:val="left"/>
      <w:pPr>
        <w:tabs>
          <w:tab w:val="num" w:pos="2160"/>
        </w:tabs>
        <w:ind w:left="2160" w:hanging="360"/>
      </w:pPr>
      <w:rPr>
        <w:rFonts w:ascii="Wingdings 3" w:hAnsi="Wingdings 3" w:cs="Times New Roman" w:hint="default"/>
        <w:color w:val="263F6A"/>
      </w:rPr>
    </w:lvl>
    <w:lvl w:ilvl="6">
      <w:start w:val="1"/>
      <w:numFmt w:val="bullet"/>
      <w:lvlText w:val=""/>
      <w:lvlJc w:val="left"/>
      <w:pPr>
        <w:tabs>
          <w:tab w:val="num" w:pos="2520"/>
        </w:tabs>
        <w:ind w:left="2520" w:hanging="360"/>
      </w:pPr>
      <w:rPr>
        <w:rFonts w:ascii="Wingdings 3" w:hAnsi="Wingdings 3" w:cs="Times New Roman" w:hint="default"/>
        <w:color w:val="263F6A"/>
      </w:rPr>
    </w:lvl>
    <w:lvl w:ilvl="7">
      <w:start w:val="1"/>
      <w:numFmt w:val="bullet"/>
      <w:lvlText w:val=""/>
      <w:lvlJc w:val="left"/>
      <w:pPr>
        <w:tabs>
          <w:tab w:val="num" w:pos="2880"/>
        </w:tabs>
        <w:ind w:left="2880" w:hanging="360"/>
      </w:pPr>
      <w:rPr>
        <w:rFonts w:ascii="Wingdings 3" w:hAnsi="Wingdings 3" w:cs="Times New Roman" w:hint="default"/>
        <w:color w:val="263F6A"/>
      </w:rPr>
    </w:lvl>
    <w:lvl w:ilvl="8">
      <w:start w:val="1"/>
      <w:numFmt w:val="bullet"/>
      <w:lvlText w:val=""/>
      <w:lvlJc w:val="left"/>
      <w:pPr>
        <w:tabs>
          <w:tab w:val="num" w:pos="3240"/>
        </w:tabs>
        <w:ind w:left="3240" w:hanging="360"/>
      </w:pPr>
      <w:rPr>
        <w:rFonts w:ascii="Wingdings 3" w:hAnsi="Wingdings 3" w:cs="Times New Roman" w:hint="default"/>
        <w:color w:val="263F6A"/>
      </w:rPr>
    </w:lvl>
  </w:abstractNum>
  <w:abstractNum w:abstractNumId="2" w15:restartNumberingAfterBreak="0">
    <w:nsid w:val="012463A4"/>
    <w:multiLevelType w:val="hybridMultilevel"/>
    <w:tmpl w:val="CB46EF84"/>
    <w:lvl w:ilvl="0" w:tplc="A82077E4">
      <w:start w:val="1"/>
      <w:numFmt w:val="decimal"/>
      <w:pStyle w:val="Article"/>
      <w:lvlText w:val="ARTICLE %1. - "/>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F8F017B"/>
    <w:multiLevelType w:val="hybridMultilevel"/>
    <w:tmpl w:val="ECD0AA8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FE19DE"/>
    <w:multiLevelType w:val="hybridMultilevel"/>
    <w:tmpl w:val="0B4CA59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9B2A2C"/>
    <w:multiLevelType w:val="hybridMultilevel"/>
    <w:tmpl w:val="6DB65B32"/>
    <w:lvl w:ilvl="0" w:tplc="00E6DB52">
      <w:start w:val="1"/>
      <w:numFmt w:val="decimal"/>
      <w:lvlText w:val="ARTICLE %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1C425AB"/>
    <w:multiLevelType w:val="hybridMultilevel"/>
    <w:tmpl w:val="9B1CF74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9096685"/>
    <w:multiLevelType w:val="hybridMultilevel"/>
    <w:tmpl w:val="9134F1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EA2B26"/>
    <w:multiLevelType w:val="hybridMultilevel"/>
    <w:tmpl w:val="62B4076C"/>
    <w:lvl w:ilvl="0" w:tplc="69EC1080">
      <w:start w:val="1"/>
      <w:numFmt w:val="decimal"/>
      <w:pStyle w:val="Article-Niv2"/>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E8C693A"/>
    <w:multiLevelType w:val="hybridMultilevel"/>
    <w:tmpl w:val="CDC47700"/>
    <w:lvl w:ilvl="0" w:tplc="8D1E39A6">
      <w:start w:val="1"/>
      <w:numFmt w:val="bullet"/>
      <w:lvlText w:val=""/>
      <w:lvlJc w:val="left"/>
      <w:pPr>
        <w:ind w:left="720" w:hanging="360"/>
      </w:pPr>
      <w:rPr>
        <w:rFonts w:ascii="Wingdings" w:hAnsi="Wingdings" w:hint="default"/>
      </w:rPr>
    </w:lvl>
    <w:lvl w:ilvl="1" w:tplc="E752D7FE" w:tentative="1">
      <w:start w:val="1"/>
      <w:numFmt w:val="bullet"/>
      <w:lvlText w:val="o"/>
      <w:lvlJc w:val="left"/>
      <w:pPr>
        <w:ind w:left="1440" w:hanging="360"/>
      </w:pPr>
      <w:rPr>
        <w:rFonts w:ascii="Courier New" w:hAnsi="Courier New" w:cs="Courier New" w:hint="default"/>
      </w:rPr>
    </w:lvl>
    <w:lvl w:ilvl="2" w:tplc="B218DA74" w:tentative="1">
      <w:start w:val="1"/>
      <w:numFmt w:val="bullet"/>
      <w:lvlText w:val=""/>
      <w:lvlJc w:val="left"/>
      <w:pPr>
        <w:ind w:left="2160" w:hanging="360"/>
      </w:pPr>
      <w:rPr>
        <w:rFonts w:ascii="Wingdings" w:hAnsi="Wingdings" w:hint="default"/>
      </w:rPr>
    </w:lvl>
    <w:lvl w:ilvl="3" w:tplc="11D6872A" w:tentative="1">
      <w:start w:val="1"/>
      <w:numFmt w:val="bullet"/>
      <w:lvlText w:val=""/>
      <w:lvlJc w:val="left"/>
      <w:pPr>
        <w:ind w:left="2880" w:hanging="360"/>
      </w:pPr>
      <w:rPr>
        <w:rFonts w:ascii="Symbol" w:hAnsi="Symbol" w:hint="default"/>
      </w:rPr>
    </w:lvl>
    <w:lvl w:ilvl="4" w:tplc="CA20C4B8" w:tentative="1">
      <w:start w:val="1"/>
      <w:numFmt w:val="bullet"/>
      <w:lvlText w:val="o"/>
      <w:lvlJc w:val="left"/>
      <w:pPr>
        <w:ind w:left="3600" w:hanging="360"/>
      </w:pPr>
      <w:rPr>
        <w:rFonts w:ascii="Courier New" w:hAnsi="Courier New" w:cs="Courier New" w:hint="default"/>
      </w:rPr>
    </w:lvl>
    <w:lvl w:ilvl="5" w:tplc="3D266BF0" w:tentative="1">
      <w:start w:val="1"/>
      <w:numFmt w:val="bullet"/>
      <w:lvlText w:val=""/>
      <w:lvlJc w:val="left"/>
      <w:pPr>
        <w:ind w:left="4320" w:hanging="360"/>
      </w:pPr>
      <w:rPr>
        <w:rFonts w:ascii="Wingdings" w:hAnsi="Wingdings" w:hint="default"/>
      </w:rPr>
    </w:lvl>
    <w:lvl w:ilvl="6" w:tplc="69266AFE" w:tentative="1">
      <w:start w:val="1"/>
      <w:numFmt w:val="bullet"/>
      <w:lvlText w:val=""/>
      <w:lvlJc w:val="left"/>
      <w:pPr>
        <w:ind w:left="5040" w:hanging="360"/>
      </w:pPr>
      <w:rPr>
        <w:rFonts w:ascii="Symbol" w:hAnsi="Symbol" w:hint="default"/>
      </w:rPr>
    </w:lvl>
    <w:lvl w:ilvl="7" w:tplc="1090C6B4" w:tentative="1">
      <w:start w:val="1"/>
      <w:numFmt w:val="bullet"/>
      <w:lvlText w:val="o"/>
      <w:lvlJc w:val="left"/>
      <w:pPr>
        <w:ind w:left="5760" w:hanging="360"/>
      </w:pPr>
      <w:rPr>
        <w:rFonts w:ascii="Courier New" w:hAnsi="Courier New" w:cs="Courier New" w:hint="default"/>
      </w:rPr>
    </w:lvl>
    <w:lvl w:ilvl="8" w:tplc="5A76E958" w:tentative="1">
      <w:start w:val="1"/>
      <w:numFmt w:val="bullet"/>
      <w:lvlText w:val=""/>
      <w:lvlJc w:val="left"/>
      <w:pPr>
        <w:ind w:left="6480" w:hanging="360"/>
      </w:pPr>
      <w:rPr>
        <w:rFonts w:ascii="Wingdings" w:hAnsi="Wingdings" w:hint="default"/>
      </w:rPr>
    </w:lvl>
  </w:abstractNum>
  <w:abstractNum w:abstractNumId="10" w15:restartNumberingAfterBreak="0">
    <w:nsid w:val="3E754089"/>
    <w:multiLevelType w:val="hybridMultilevel"/>
    <w:tmpl w:val="F44493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56F72D1"/>
    <w:multiLevelType w:val="hybridMultilevel"/>
    <w:tmpl w:val="2A402C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1B71D95"/>
    <w:multiLevelType w:val="hybridMultilevel"/>
    <w:tmpl w:val="8C9E2482"/>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5E372EDE"/>
    <w:multiLevelType w:val="multilevel"/>
    <w:tmpl w:val="B2CA8C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15:restartNumberingAfterBreak="0">
    <w:nsid w:val="64556801"/>
    <w:multiLevelType w:val="multilevel"/>
    <w:tmpl w:val="92C28E42"/>
    <w:lvl w:ilvl="0">
      <w:start w:val="3"/>
      <w:numFmt w:val="decimal"/>
      <w:lvlText w:val="%1"/>
      <w:lvlJc w:val="left"/>
      <w:pPr>
        <w:ind w:left="580" w:hanging="58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7AD2147"/>
    <w:multiLevelType w:val="hybridMultilevel"/>
    <w:tmpl w:val="C166F9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7026676"/>
    <w:multiLevelType w:val="hybridMultilevel"/>
    <w:tmpl w:val="D842136C"/>
    <w:lvl w:ilvl="0" w:tplc="2BDE53B8">
      <w:start w:val="1"/>
      <w:numFmt w:val="bullet"/>
      <w:lvlText w:val=""/>
      <w:lvlJc w:val="left"/>
      <w:pPr>
        <w:ind w:left="720" w:hanging="360"/>
      </w:pPr>
      <w:rPr>
        <w:rFonts w:ascii="Wingdings" w:hAnsi="Wingdings" w:hint="default"/>
      </w:rPr>
    </w:lvl>
    <w:lvl w:ilvl="1" w:tplc="528C51FE" w:tentative="1">
      <w:start w:val="1"/>
      <w:numFmt w:val="bullet"/>
      <w:lvlText w:val="o"/>
      <w:lvlJc w:val="left"/>
      <w:pPr>
        <w:ind w:left="1440" w:hanging="360"/>
      </w:pPr>
      <w:rPr>
        <w:rFonts w:ascii="Courier New" w:hAnsi="Courier New" w:cs="Courier New" w:hint="default"/>
      </w:rPr>
    </w:lvl>
    <w:lvl w:ilvl="2" w:tplc="E2CAFBC4" w:tentative="1">
      <w:start w:val="1"/>
      <w:numFmt w:val="bullet"/>
      <w:lvlText w:val=""/>
      <w:lvlJc w:val="left"/>
      <w:pPr>
        <w:ind w:left="2160" w:hanging="360"/>
      </w:pPr>
      <w:rPr>
        <w:rFonts w:ascii="Wingdings" w:hAnsi="Wingdings" w:hint="default"/>
      </w:rPr>
    </w:lvl>
    <w:lvl w:ilvl="3" w:tplc="4A46E1C8" w:tentative="1">
      <w:start w:val="1"/>
      <w:numFmt w:val="bullet"/>
      <w:lvlText w:val=""/>
      <w:lvlJc w:val="left"/>
      <w:pPr>
        <w:ind w:left="2880" w:hanging="360"/>
      </w:pPr>
      <w:rPr>
        <w:rFonts w:ascii="Symbol" w:hAnsi="Symbol" w:hint="default"/>
      </w:rPr>
    </w:lvl>
    <w:lvl w:ilvl="4" w:tplc="61241254" w:tentative="1">
      <w:start w:val="1"/>
      <w:numFmt w:val="bullet"/>
      <w:lvlText w:val="o"/>
      <w:lvlJc w:val="left"/>
      <w:pPr>
        <w:ind w:left="3600" w:hanging="360"/>
      </w:pPr>
      <w:rPr>
        <w:rFonts w:ascii="Courier New" w:hAnsi="Courier New" w:cs="Courier New" w:hint="default"/>
      </w:rPr>
    </w:lvl>
    <w:lvl w:ilvl="5" w:tplc="71847856" w:tentative="1">
      <w:start w:val="1"/>
      <w:numFmt w:val="bullet"/>
      <w:lvlText w:val=""/>
      <w:lvlJc w:val="left"/>
      <w:pPr>
        <w:ind w:left="4320" w:hanging="360"/>
      </w:pPr>
      <w:rPr>
        <w:rFonts w:ascii="Wingdings" w:hAnsi="Wingdings" w:hint="default"/>
      </w:rPr>
    </w:lvl>
    <w:lvl w:ilvl="6" w:tplc="0BB09D52" w:tentative="1">
      <w:start w:val="1"/>
      <w:numFmt w:val="bullet"/>
      <w:lvlText w:val=""/>
      <w:lvlJc w:val="left"/>
      <w:pPr>
        <w:ind w:left="5040" w:hanging="360"/>
      </w:pPr>
      <w:rPr>
        <w:rFonts w:ascii="Symbol" w:hAnsi="Symbol" w:hint="default"/>
      </w:rPr>
    </w:lvl>
    <w:lvl w:ilvl="7" w:tplc="F3A6B61A" w:tentative="1">
      <w:start w:val="1"/>
      <w:numFmt w:val="bullet"/>
      <w:lvlText w:val="o"/>
      <w:lvlJc w:val="left"/>
      <w:pPr>
        <w:ind w:left="5760" w:hanging="360"/>
      </w:pPr>
      <w:rPr>
        <w:rFonts w:ascii="Courier New" w:hAnsi="Courier New" w:cs="Courier New" w:hint="default"/>
      </w:rPr>
    </w:lvl>
    <w:lvl w:ilvl="8" w:tplc="8788E652" w:tentative="1">
      <w:start w:val="1"/>
      <w:numFmt w:val="bullet"/>
      <w:lvlText w:val=""/>
      <w:lvlJc w:val="left"/>
      <w:pPr>
        <w:ind w:left="6480" w:hanging="360"/>
      </w:pPr>
      <w:rPr>
        <w:rFonts w:ascii="Wingdings" w:hAnsi="Wingdings" w:hint="default"/>
      </w:rPr>
    </w:lvl>
  </w:abstractNum>
  <w:abstractNum w:abstractNumId="17" w15:restartNumberingAfterBreak="0">
    <w:nsid w:val="778D21C1"/>
    <w:multiLevelType w:val="hybridMultilevel"/>
    <w:tmpl w:val="20BC14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F5D6F6E"/>
    <w:multiLevelType w:val="hybridMultilevel"/>
    <w:tmpl w:val="B6DA5ADE"/>
    <w:lvl w:ilvl="0" w:tplc="949466BC">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86875481">
    <w:abstractNumId w:val="0"/>
  </w:num>
  <w:num w:numId="2" w16cid:durableId="122893157">
    <w:abstractNumId w:val="1"/>
  </w:num>
  <w:num w:numId="3" w16cid:durableId="1611859791">
    <w:abstractNumId w:val="13"/>
  </w:num>
  <w:num w:numId="4" w16cid:durableId="197134267">
    <w:abstractNumId w:val="13"/>
  </w:num>
  <w:num w:numId="5" w16cid:durableId="1201168355">
    <w:abstractNumId w:val="13"/>
  </w:num>
  <w:num w:numId="6" w16cid:durableId="1614364400">
    <w:abstractNumId w:val="13"/>
  </w:num>
  <w:num w:numId="7" w16cid:durableId="635070480">
    <w:abstractNumId w:val="13"/>
  </w:num>
  <w:num w:numId="8" w16cid:durableId="91050740">
    <w:abstractNumId w:val="13"/>
  </w:num>
  <w:num w:numId="9" w16cid:durableId="1484666062">
    <w:abstractNumId w:val="13"/>
  </w:num>
  <w:num w:numId="10" w16cid:durableId="886575282">
    <w:abstractNumId w:val="13"/>
  </w:num>
  <w:num w:numId="11" w16cid:durableId="1709799110">
    <w:abstractNumId w:val="13"/>
  </w:num>
  <w:num w:numId="12" w16cid:durableId="1699508896">
    <w:abstractNumId w:val="2"/>
  </w:num>
  <w:num w:numId="13" w16cid:durableId="195581237">
    <w:abstractNumId w:val="13"/>
    <w:lvlOverride w:ilvl="0">
      <w:startOverride w:val="1"/>
    </w:lvlOverride>
  </w:num>
  <w:num w:numId="14" w16cid:durableId="1593662886">
    <w:abstractNumId w:val="2"/>
  </w:num>
  <w:num w:numId="15" w16cid:durableId="1879049334">
    <w:abstractNumId w:val="5"/>
  </w:num>
  <w:num w:numId="16" w16cid:durableId="1561987572">
    <w:abstractNumId w:val="8"/>
  </w:num>
  <w:num w:numId="17" w16cid:durableId="907348896">
    <w:abstractNumId w:val="1"/>
  </w:num>
  <w:num w:numId="18" w16cid:durableId="388112996">
    <w:abstractNumId w:val="1"/>
  </w:num>
  <w:num w:numId="19" w16cid:durableId="1321497956">
    <w:abstractNumId w:val="1"/>
  </w:num>
  <w:num w:numId="20" w16cid:durableId="662011820">
    <w:abstractNumId w:val="12"/>
  </w:num>
  <w:num w:numId="21" w16cid:durableId="957180107">
    <w:abstractNumId w:val="13"/>
  </w:num>
  <w:num w:numId="22" w16cid:durableId="977756969">
    <w:abstractNumId w:val="15"/>
  </w:num>
  <w:num w:numId="23" w16cid:durableId="979650078">
    <w:abstractNumId w:val="14"/>
  </w:num>
  <w:num w:numId="24" w16cid:durableId="1291206593">
    <w:abstractNumId w:val="13"/>
  </w:num>
  <w:num w:numId="25" w16cid:durableId="1204974903">
    <w:abstractNumId w:val="4"/>
  </w:num>
  <w:num w:numId="26" w16cid:durableId="810751326">
    <w:abstractNumId w:val="9"/>
  </w:num>
  <w:num w:numId="27" w16cid:durableId="2081560863">
    <w:abstractNumId w:val="16"/>
  </w:num>
  <w:num w:numId="28" w16cid:durableId="887450571">
    <w:abstractNumId w:val="6"/>
  </w:num>
  <w:num w:numId="29" w16cid:durableId="1375698093">
    <w:abstractNumId w:val="3"/>
  </w:num>
  <w:num w:numId="30" w16cid:durableId="1953585707">
    <w:abstractNumId w:val="7"/>
  </w:num>
  <w:num w:numId="31" w16cid:durableId="674113611">
    <w:abstractNumId w:val="13"/>
  </w:num>
  <w:num w:numId="32" w16cid:durableId="19938739">
    <w:abstractNumId w:val="13"/>
  </w:num>
  <w:num w:numId="33" w16cid:durableId="1203862846">
    <w:abstractNumId w:val="13"/>
  </w:num>
  <w:num w:numId="34" w16cid:durableId="251283886">
    <w:abstractNumId w:val="13"/>
  </w:num>
  <w:num w:numId="35" w16cid:durableId="1743944579">
    <w:abstractNumId w:val="13"/>
  </w:num>
  <w:num w:numId="36" w16cid:durableId="250551840">
    <w:abstractNumId w:val="11"/>
  </w:num>
  <w:num w:numId="37" w16cid:durableId="1581867529">
    <w:abstractNumId w:val="18"/>
  </w:num>
  <w:num w:numId="38" w16cid:durableId="1169250360">
    <w:abstractNumId w:val="17"/>
  </w:num>
  <w:num w:numId="39" w16cid:durableId="650452945">
    <w:abstractNumId w:val="10"/>
  </w:num>
  <w:num w:numId="40" w16cid:durableId="92628799">
    <w:abstractNumId w:val="1"/>
  </w:num>
  <w:num w:numId="41" w16cid:durableId="15915453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FCC"/>
    <w:rsid w:val="000005F3"/>
    <w:rsid w:val="00002DF7"/>
    <w:rsid w:val="0000352B"/>
    <w:rsid w:val="00006D45"/>
    <w:rsid w:val="000102FE"/>
    <w:rsid w:val="00012896"/>
    <w:rsid w:val="000144D6"/>
    <w:rsid w:val="00014592"/>
    <w:rsid w:val="000147E8"/>
    <w:rsid w:val="00014ADC"/>
    <w:rsid w:val="00015D59"/>
    <w:rsid w:val="0001713A"/>
    <w:rsid w:val="00027B5A"/>
    <w:rsid w:val="0003130C"/>
    <w:rsid w:val="000316C9"/>
    <w:rsid w:val="00036327"/>
    <w:rsid w:val="00052C94"/>
    <w:rsid w:val="00054481"/>
    <w:rsid w:val="00054C99"/>
    <w:rsid w:val="0005653D"/>
    <w:rsid w:val="0005796B"/>
    <w:rsid w:val="0006069E"/>
    <w:rsid w:val="00060EB4"/>
    <w:rsid w:val="00066060"/>
    <w:rsid w:val="000723A1"/>
    <w:rsid w:val="00075A57"/>
    <w:rsid w:val="000771AD"/>
    <w:rsid w:val="00084052"/>
    <w:rsid w:val="00084065"/>
    <w:rsid w:val="0009425C"/>
    <w:rsid w:val="000A2509"/>
    <w:rsid w:val="000A29BE"/>
    <w:rsid w:val="000B15AC"/>
    <w:rsid w:val="000B2328"/>
    <w:rsid w:val="000B460A"/>
    <w:rsid w:val="000B6CC5"/>
    <w:rsid w:val="000C08BE"/>
    <w:rsid w:val="000C2D4A"/>
    <w:rsid w:val="000C701E"/>
    <w:rsid w:val="000D53F5"/>
    <w:rsid w:val="000E17C5"/>
    <w:rsid w:val="000E231A"/>
    <w:rsid w:val="000E2D8E"/>
    <w:rsid w:val="000E3487"/>
    <w:rsid w:val="000E6955"/>
    <w:rsid w:val="000E71F1"/>
    <w:rsid w:val="000F0FBE"/>
    <w:rsid w:val="000F27B5"/>
    <w:rsid w:val="000F3482"/>
    <w:rsid w:val="000F43F8"/>
    <w:rsid w:val="000F688E"/>
    <w:rsid w:val="001036F3"/>
    <w:rsid w:val="0010717F"/>
    <w:rsid w:val="0010771E"/>
    <w:rsid w:val="001143E9"/>
    <w:rsid w:val="00117DA8"/>
    <w:rsid w:val="001254EC"/>
    <w:rsid w:val="00125A24"/>
    <w:rsid w:val="00126042"/>
    <w:rsid w:val="00126B2C"/>
    <w:rsid w:val="0013077D"/>
    <w:rsid w:val="00131862"/>
    <w:rsid w:val="00133B21"/>
    <w:rsid w:val="00135B70"/>
    <w:rsid w:val="001437C0"/>
    <w:rsid w:val="0014788A"/>
    <w:rsid w:val="00147F47"/>
    <w:rsid w:val="00151FDC"/>
    <w:rsid w:val="00153F5A"/>
    <w:rsid w:val="00157C88"/>
    <w:rsid w:val="00161DFA"/>
    <w:rsid w:val="00163055"/>
    <w:rsid w:val="00163D35"/>
    <w:rsid w:val="0017527A"/>
    <w:rsid w:val="001804EC"/>
    <w:rsid w:val="00183063"/>
    <w:rsid w:val="00183492"/>
    <w:rsid w:val="001846B3"/>
    <w:rsid w:val="00186504"/>
    <w:rsid w:val="00187FEF"/>
    <w:rsid w:val="00190726"/>
    <w:rsid w:val="00193669"/>
    <w:rsid w:val="001A0794"/>
    <w:rsid w:val="001A432B"/>
    <w:rsid w:val="001B1608"/>
    <w:rsid w:val="001C095B"/>
    <w:rsid w:val="001C14F9"/>
    <w:rsid w:val="001C6006"/>
    <w:rsid w:val="001D00C7"/>
    <w:rsid w:val="001D624F"/>
    <w:rsid w:val="001F451C"/>
    <w:rsid w:val="001F5067"/>
    <w:rsid w:val="001F793B"/>
    <w:rsid w:val="001F7CEE"/>
    <w:rsid w:val="00202E2F"/>
    <w:rsid w:val="00207C61"/>
    <w:rsid w:val="00207EAB"/>
    <w:rsid w:val="0022215E"/>
    <w:rsid w:val="002268EF"/>
    <w:rsid w:val="00230EBD"/>
    <w:rsid w:val="002312CA"/>
    <w:rsid w:val="0023146A"/>
    <w:rsid w:val="002364C1"/>
    <w:rsid w:val="00240B7F"/>
    <w:rsid w:val="00242095"/>
    <w:rsid w:val="00243F99"/>
    <w:rsid w:val="00244C22"/>
    <w:rsid w:val="00246563"/>
    <w:rsid w:val="002474C5"/>
    <w:rsid w:val="00250025"/>
    <w:rsid w:val="002524EC"/>
    <w:rsid w:val="0025303B"/>
    <w:rsid w:val="002544E8"/>
    <w:rsid w:val="00255B8D"/>
    <w:rsid w:val="00260B9B"/>
    <w:rsid w:val="002641DE"/>
    <w:rsid w:val="00264E95"/>
    <w:rsid w:val="00265283"/>
    <w:rsid w:val="00272241"/>
    <w:rsid w:val="0027236D"/>
    <w:rsid w:val="00276F61"/>
    <w:rsid w:val="0028633F"/>
    <w:rsid w:val="00286B1C"/>
    <w:rsid w:val="00286CE0"/>
    <w:rsid w:val="00286EA6"/>
    <w:rsid w:val="002876B8"/>
    <w:rsid w:val="002879DB"/>
    <w:rsid w:val="00291289"/>
    <w:rsid w:val="00292DE6"/>
    <w:rsid w:val="00293C79"/>
    <w:rsid w:val="00294949"/>
    <w:rsid w:val="002A0286"/>
    <w:rsid w:val="002A043C"/>
    <w:rsid w:val="002A216F"/>
    <w:rsid w:val="002A2DE4"/>
    <w:rsid w:val="002B10C1"/>
    <w:rsid w:val="002B2E78"/>
    <w:rsid w:val="002B5328"/>
    <w:rsid w:val="002B5A78"/>
    <w:rsid w:val="002C3BB4"/>
    <w:rsid w:val="002C65EE"/>
    <w:rsid w:val="002C7AEB"/>
    <w:rsid w:val="002D223D"/>
    <w:rsid w:val="002D3C14"/>
    <w:rsid w:val="002D5FC1"/>
    <w:rsid w:val="002E0A3D"/>
    <w:rsid w:val="002E31CC"/>
    <w:rsid w:val="002E7264"/>
    <w:rsid w:val="002E7779"/>
    <w:rsid w:val="002F0A1F"/>
    <w:rsid w:val="002F47F4"/>
    <w:rsid w:val="002F48F1"/>
    <w:rsid w:val="00301E36"/>
    <w:rsid w:val="00305BFB"/>
    <w:rsid w:val="00307F21"/>
    <w:rsid w:val="0031020F"/>
    <w:rsid w:val="00317C9D"/>
    <w:rsid w:val="00320A86"/>
    <w:rsid w:val="00323DA6"/>
    <w:rsid w:val="00324520"/>
    <w:rsid w:val="00324AA4"/>
    <w:rsid w:val="00332443"/>
    <w:rsid w:val="00332D17"/>
    <w:rsid w:val="003330A8"/>
    <w:rsid w:val="003344DF"/>
    <w:rsid w:val="00335574"/>
    <w:rsid w:val="00337FE5"/>
    <w:rsid w:val="0034196C"/>
    <w:rsid w:val="003421E7"/>
    <w:rsid w:val="00342C91"/>
    <w:rsid w:val="00345398"/>
    <w:rsid w:val="003464DE"/>
    <w:rsid w:val="00350494"/>
    <w:rsid w:val="00350C01"/>
    <w:rsid w:val="00357D7F"/>
    <w:rsid w:val="003648D7"/>
    <w:rsid w:val="00366D4A"/>
    <w:rsid w:val="00374E08"/>
    <w:rsid w:val="00375C74"/>
    <w:rsid w:val="00391731"/>
    <w:rsid w:val="003959C0"/>
    <w:rsid w:val="00396723"/>
    <w:rsid w:val="003975F3"/>
    <w:rsid w:val="00397CC3"/>
    <w:rsid w:val="003A0F7B"/>
    <w:rsid w:val="003A5CC3"/>
    <w:rsid w:val="003A719E"/>
    <w:rsid w:val="003B022B"/>
    <w:rsid w:val="003B0868"/>
    <w:rsid w:val="003B2AAF"/>
    <w:rsid w:val="003B2F94"/>
    <w:rsid w:val="003B44CC"/>
    <w:rsid w:val="003B6020"/>
    <w:rsid w:val="003C07EC"/>
    <w:rsid w:val="003C1909"/>
    <w:rsid w:val="003C2F75"/>
    <w:rsid w:val="003C5EAD"/>
    <w:rsid w:val="003C681B"/>
    <w:rsid w:val="003D28E8"/>
    <w:rsid w:val="003D3824"/>
    <w:rsid w:val="003D4A74"/>
    <w:rsid w:val="003D62A2"/>
    <w:rsid w:val="003D6418"/>
    <w:rsid w:val="003E1F95"/>
    <w:rsid w:val="003E3156"/>
    <w:rsid w:val="003E48E9"/>
    <w:rsid w:val="003E4D5F"/>
    <w:rsid w:val="003E54D4"/>
    <w:rsid w:val="003E59C9"/>
    <w:rsid w:val="003E6316"/>
    <w:rsid w:val="003E6C31"/>
    <w:rsid w:val="003F01A1"/>
    <w:rsid w:val="003F0F9F"/>
    <w:rsid w:val="003F13A0"/>
    <w:rsid w:val="003F1FDB"/>
    <w:rsid w:val="003F6BC1"/>
    <w:rsid w:val="003F74B7"/>
    <w:rsid w:val="0040435E"/>
    <w:rsid w:val="00407FA2"/>
    <w:rsid w:val="00410D36"/>
    <w:rsid w:val="00412FB7"/>
    <w:rsid w:val="004139B7"/>
    <w:rsid w:val="0041491E"/>
    <w:rsid w:val="00415BE7"/>
    <w:rsid w:val="00422802"/>
    <w:rsid w:val="00423A4A"/>
    <w:rsid w:val="00432A10"/>
    <w:rsid w:val="004339D4"/>
    <w:rsid w:val="00434477"/>
    <w:rsid w:val="00437B68"/>
    <w:rsid w:val="00441E1B"/>
    <w:rsid w:val="004445D0"/>
    <w:rsid w:val="004448AB"/>
    <w:rsid w:val="00444FF2"/>
    <w:rsid w:val="004460C5"/>
    <w:rsid w:val="004521E2"/>
    <w:rsid w:val="00452B29"/>
    <w:rsid w:val="00455A0E"/>
    <w:rsid w:val="004563DB"/>
    <w:rsid w:val="00471C8B"/>
    <w:rsid w:val="00471D53"/>
    <w:rsid w:val="00471DA6"/>
    <w:rsid w:val="00471F8A"/>
    <w:rsid w:val="0047366F"/>
    <w:rsid w:val="00476350"/>
    <w:rsid w:val="00480993"/>
    <w:rsid w:val="00482838"/>
    <w:rsid w:val="004836BF"/>
    <w:rsid w:val="00487B52"/>
    <w:rsid w:val="00495002"/>
    <w:rsid w:val="0049795E"/>
    <w:rsid w:val="004A046F"/>
    <w:rsid w:val="004A08A1"/>
    <w:rsid w:val="004A567A"/>
    <w:rsid w:val="004A5F97"/>
    <w:rsid w:val="004B0CEB"/>
    <w:rsid w:val="004B0EB0"/>
    <w:rsid w:val="004B3F39"/>
    <w:rsid w:val="004B4886"/>
    <w:rsid w:val="004B505D"/>
    <w:rsid w:val="004B6320"/>
    <w:rsid w:val="004C492A"/>
    <w:rsid w:val="004D2A31"/>
    <w:rsid w:val="004D322E"/>
    <w:rsid w:val="004D3635"/>
    <w:rsid w:val="004D67A0"/>
    <w:rsid w:val="004E3DD7"/>
    <w:rsid w:val="004E607B"/>
    <w:rsid w:val="004E7C3C"/>
    <w:rsid w:val="004E7FDD"/>
    <w:rsid w:val="004F065B"/>
    <w:rsid w:val="004F1195"/>
    <w:rsid w:val="004F2BEB"/>
    <w:rsid w:val="004F459C"/>
    <w:rsid w:val="004F5866"/>
    <w:rsid w:val="004F66E2"/>
    <w:rsid w:val="004F71AE"/>
    <w:rsid w:val="005016F6"/>
    <w:rsid w:val="00502E9B"/>
    <w:rsid w:val="00507126"/>
    <w:rsid w:val="00510270"/>
    <w:rsid w:val="0051137D"/>
    <w:rsid w:val="005119E8"/>
    <w:rsid w:val="00512CBD"/>
    <w:rsid w:val="00513024"/>
    <w:rsid w:val="00514F68"/>
    <w:rsid w:val="00516AB7"/>
    <w:rsid w:val="00524527"/>
    <w:rsid w:val="0052662C"/>
    <w:rsid w:val="005268C5"/>
    <w:rsid w:val="00531ABD"/>
    <w:rsid w:val="00532F0F"/>
    <w:rsid w:val="00533402"/>
    <w:rsid w:val="005338AA"/>
    <w:rsid w:val="00534861"/>
    <w:rsid w:val="005411F6"/>
    <w:rsid w:val="005456F4"/>
    <w:rsid w:val="00547AE8"/>
    <w:rsid w:val="005511DB"/>
    <w:rsid w:val="00551E96"/>
    <w:rsid w:val="005532AE"/>
    <w:rsid w:val="005557BC"/>
    <w:rsid w:val="00556316"/>
    <w:rsid w:val="005625A7"/>
    <w:rsid w:val="00562848"/>
    <w:rsid w:val="005631CF"/>
    <w:rsid w:val="00567793"/>
    <w:rsid w:val="005724FF"/>
    <w:rsid w:val="00574403"/>
    <w:rsid w:val="005756BE"/>
    <w:rsid w:val="00576134"/>
    <w:rsid w:val="005779B8"/>
    <w:rsid w:val="005800BE"/>
    <w:rsid w:val="00580420"/>
    <w:rsid w:val="00583C0A"/>
    <w:rsid w:val="00583FDC"/>
    <w:rsid w:val="0058491A"/>
    <w:rsid w:val="00584BF7"/>
    <w:rsid w:val="00591D97"/>
    <w:rsid w:val="005948BE"/>
    <w:rsid w:val="005A4224"/>
    <w:rsid w:val="005B1B77"/>
    <w:rsid w:val="005B2508"/>
    <w:rsid w:val="005B2E0F"/>
    <w:rsid w:val="005B400F"/>
    <w:rsid w:val="005B48FC"/>
    <w:rsid w:val="005B5801"/>
    <w:rsid w:val="005B6DC6"/>
    <w:rsid w:val="005C02A5"/>
    <w:rsid w:val="005C2B35"/>
    <w:rsid w:val="005C4997"/>
    <w:rsid w:val="005C7B9B"/>
    <w:rsid w:val="005D0CD9"/>
    <w:rsid w:val="005D14C9"/>
    <w:rsid w:val="005D202A"/>
    <w:rsid w:val="005D2B22"/>
    <w:rsid w:val="005D2F0E"/>
    <w:rsid w:val="005D522F"/>
    <w:rsid w:val="005D6BD8"/>
    <w:rsid w:val="005D7568"/>
    <w:rsid w:val="005E6992"/>
    <w:rsid w:val="005E7362"/>
    <w:rsid w:val="005F1EC3"/>
    <w:rsid w:val="006029DB"/>
    <w:rsid w:val="00611E0B"/>
    <w:rsid w:val="0061600F"/>
    <w:rsid w:val="00616D62"/>
    <w:rsid w:val="00617C7F"/>
    <w:rsid w:val="00620433"/>
    <w:rsid w:val="00622BE5"/>
    <w:rsid w:val="006261B3"/>
    <w:rsid w:val="0063146B"/>
    <w:rsid w:val="00633C7D"/>
    <w:rsid w:val="00634CCE"/>
    <w:rsid w:val="006420B1"/>
    <w:rsid w:val="00644625"/>
    <w:rsid w:val="00655E58"/>
    <w:rsid w:val="006639B5"/>
    <w:rsid w:val="00666B97"/>
    <w:rsid w:val="006678A7"/>
    <w:rsid w:val="00670716"/>
    <w:rsid w:val="00671D80"/>
    <w:rsid w:val="00676647"/>
    <w:rsid w:val="0068112B"/>
    <w:rsid w:val="00681AA2"/>
    <w:rsid w:val="00685D59"/>
    <w:rsid w:val="00690B74"/>
    <w:rsid w:val="00695E11"/>
    <w:rsid w:val="00696919"/>
    <w:rsid w:val="006A0490"/>
    <w:rsid w:val="006A406B"/>
    <w:rsid w:val="006A7C92"/>
    <w:rsid w:val="006B606A"/>
    <w:rsid w:val="006C38AC"/>
    <w:rsid w:val="006C3F6D"/>
    <w:rsid w:val="006C5766"/>
    <w:rsid w:val="006D249C"/>
    <w:rsid w:val="006D2512"/>
    <w:rsid w:val="006D5A1F"/>
    <w:rsid w:val="006E042E"/>
    <w:rsid w:val="006E1A96"/>
    <w:rsid w:val="006E24C1"/>
    <w:rsid w:val="006E2BB4"/>
    <w:rsid w:val="006E752D"/>
    <w:rsid w:val="006E7C98"/>
    <w:rsid w:val="006F038C"/>
    <w:rsid w:val="006F0FF8"/>
    <w:rsid w:val="006F2B16"/>
    <w:rsid w:val="006F5A93"/>
    <w:rsid w:val="006F5C79"/>
    <w:rsid w:val="006F66C5"/>
    <w:rsid w:val="006F69C4"/>
    <w:rsid w:val="006F7E01"/>
    <w:rsid w:val="007005E2"/>
    <w:rsid w:val="00701006"/>
    <w:rsid w:val="0070214A"/>
    <w:rsid w:val="0070624A"/>
    <w:rsid w:val="00710D96"/>
    <w:rsid w:val="00711E73"/>
    <w:rsid w:val="00711EE9"/>
    <w:rsid w:val="00711FE1"/>
    <w:rsid w:val="00712217"/>
    <w:rsid w:val="00713C8A"/>
    <w:rsid w:val="00714CFB"/>
    <w:rsid w:val="00715DE1"/>
    <w:rsid w:val="00717443"/>
    <w:rsid w:val="0072358E"/>
    <w:rsid w:val="00723A22"/>
    <w:rsid w:val="00725815"/>
    <w:rsid w:val="00725962"/>
    <w:rsid w:val="00727D7B"/>
    <w:rsid w:val="00731EC8"/>
    <w:rsid w:val="00732842"/>
    <w:rsid w:val="00732E0F"/>
    <w:rsid w:val="007351E5"/>
    <w:rsid w:val="00740472"/>
    <w:rsid w:val="007424B1"/>
    <w:rsid w:val="00742935"/>
    <w:rsid w:val="0074690B"/>
    <w:rsid w:val="00746FC3"/>
    <w:rsid w:val="00751CE2"/>
    <w:rsid w:val="007577EE"/>
    <w:rsid w:val="00761BBD"/>
    <w:rsid w:val="00764433"/>
    <w:rsid w:val="007657EF"/>
    <w:rsid w:val="007665B3"/>
    <w:rsid w:val="007716A5"/>
    <w:rsid w:val="00772563"/>
    <w:rsid w:val="007740C9"/>
    <w:rsid w:val="0078685D"/>
    <w:rsid w:val="007872B0"/>
    <w:rsid w:val="0079680A"/>
    <w:rsid w:val="007A62E7"/>
    <w:rsid w:val="007A7260"/>
    <w:rsid w:val="007A7C8B"/>
    <w:rsid w:val="007B4B47"/>
    <w:rsid w:val="007B60A2"/>
    <w:rsid w:val="007C0FF0"/>
    <w:rsid w:val="007C2A6B"/>
    <w:rsid w:val="007C3773"/>
    <w:rsid w:val="007C591C"/>
    <w:rsid w:val="007D2A75"/>
    <w:rsid w:val="007E0D1A"/>
    <w:rsid w:val="007E33BD"/>
    <w:rsid w:val="007E4532"/>
    <w:rsid w:val="007E6E09"/>
    <w:rsid w:val="007F0F1E"/>
    <w:rsid w:val="007F51EA"/>
    <w:rsid w:val="00802995"/>
    <w:rsid w:val="00807F6F"/>
    <w:rsid w:val="008154D5"/>
    <w:rsid w:val="008201B0"/>
    <w:rsid w:val="00826D2E"/>
    <w:rsid w:val="008309FD"/>
    <w:rsid w:val="00833663"/>
    <w:rsid w:val="00833B19"/>
    <w:rsid w:val="00834DC6"/>
    <w:rsid w:val="00842B44"/>
    <w:rsid w:val="00843C71"/>
    <w:rsid w:val="00844242"/>
    <w:rsid w:val="00845B99"/>
    <w:rsid w:val="00852669"/>
    <w:rsid w:val="00854B02"/>
    <w:rsid w:val="00856626"/>
    <w:rsid w:val="00860FCB"/>
    <w:rsid w:val="00873946"/>
    <w:rsid w:val="00880DCB"/>
    <w:rsid w:val="00881092"/>
    <w:rsid w:val="00883927"/>
    <w:rsid w:val="00890705"/>
    <w:rsid w:val="00892126"/>
    <w:rsid w:val="008A5912"/>
    <w:rsid w:val="008A5EF3"/>
    <w:rsid w:val="008A773E"/>
    <w:rsid w:val="008B180C"/>
    <w:rsid w:val="008B2904"/>
    <w:rsid w:val="008B40AE"/>
    <w:rsid w:val="008B68E2"/>
    <w:rsid w:val="008B7E35"/>
    <w:rsid w:val="008C181A"/>
    <w:rsid w:val="008C25DD"/>
    <w:rsid w:val="008C4A9E"/>
    <w:rsid w:val="008C655C"/>
    <w:rsid w:val="008C762A"/>
    <w:rsid w:val="008D2066"/>
    <w:rsid w:val="008D2AB9"/>
    <w:rsid w:val="008D2ACB"/>
    <w:rsid w:val="008D7500"/>
    <w:rsid w:val="008E0D6C"/>
    <w:rsid w:val="008E0F99"/>
    <w:rsid w:val="008E16C1"/>
    <w:rsid w:val="008E31DD"/>
    <w:rsid w:val="008E31EC"/>
    <w:rsid w:val="008E3D1E"/>
    <w:rsid w:val="008E3F9E"/>
    <w:rsid w:val="008E6382"/>
    <w:rsid w:val="008F2FCF"/>
    <w:rsid w:val="008F54D0"/>
    <w:rsid w:val="008F74AD"/>
    <w:rsid w:val="00900EBE"/>
    <w:rsid w:val="009012D0"/>
    <w:rsid w:val="00904A53"/>
    <w:rsid w:val="00904B7A"/>
    <w:rsid w:val="0090575C"/>
    <w:rsid w:val="00911DFD"/>
    <w:rsid w:val="00914D69"/>
    <w:rsid w:val="00923A00"/>
    <w:rsid w:val="009274D6"/>
    <w:rsid w:val="00930298"/>
    <w:rsid w:val="009322C5"/>
    <w:rsid w:val="009326AD"/>
    <w:rsid w:val="00932A5F"/>
    <w:rsid w:val="009334E0"/>
    <w:rsid w:val="009359A7"/>
    <w:rsid w:val="00935FCC"/>
    <w:rsid w:val="00940737"/>
    <w:rsid w:val="00944F3C"/>
    <w:rsid w:val="0094595C"/>
    <w:rsid w:val="00953B4C"/>
    <w:rsid w:val="00954606"/>
    <w:rsid w:val="00955D98"/>
    <w:rsid w:val="00955F68"/>
    <w:rsid w:val="00956874"/>
    <w:rsid w:val="00962BEE"/>
    <w:rsid w:val="00965AF1"/>
    <w:rsid w:val="00970D73"/>
    <w:rsid w:val="00975ADF"/>
    <w:rsid w:val="009845E1"/>
    <w:rsid w:val="00985792"/>
    <w:rsid w:val="009860FB"/>
    <w:rsid w:val="009875C8"/>
    <w:rsid w:val="0099000E"/>
    <w:rsid w:val="00990097"/>
    <w:rsid w:val="00991805"/>
    <w:rsid w:val="00994B23"/>
    <w:rsid w:val="0099623C"/>
    <w:rsid w:val="00996FBF"/>
    <w:rsid w:val="00997DC9"/>
    <w:rsid w:val="009A1143"/>
    <w:rsid w:val="009A3EA4"/>
    <w:rsid w:val="009A4D79"/>
    <w:rsid w:val="009A60AC"/>
    <w:rsid w:val="009A6D44"/>
    <w:rsid w:val="009B0624"/>
    <w:rsid w:val="009B256D"/>
    <w:rsid w:val="009B3171"/>
    <w:rsid w:val="009C30BF"/>
    <w:rsid w:val="009C3B7F"/>
    <w:rsid w:val="009C485D"/>
    <w:rsid w:val="009C6609"/>
    <w:rsid w:val="009D031A"/>
    <w:rsid w:val="009D08AB"/>
    <w:rsid w:val="009D1653"/>
    <w:rsid w:val="009D2B3F"/>
    <w:rsid w:val="009D5CD8"/>
    <w:rsid w:val="009D7FA9"/>
    <w:rsid w:val="009E1426"/>
    <w:rsid w:val="009E4473"/>
    <w:rsid w:val="009E7DF8"/>
    <w:rsid w:val="009F0A71"/>
    <w:rsid w:val="009F3318"/>
    <w:rsid w:val="009F3F60"/>
    <w:rsid w:val="009F6FA4"/>
    <w:rsid w:val="00A00CAB"/>
    <w:rsid w:val="00A0214D"/>
    <w:rsid w:val="00A04012"/>
    <w:rsid w:val="00A06F27"/>
    <w:rsid w:val="00A103CF"/>
    <w:rsid w:val="00A15BBD"/>
    <w:rsid w:val="00A16CE2"/>
    <w:rsid w:val="00A1732B"/>
    <w:rsid w:val="00A20362"/>
    <w:rsid w:val="00A21954"/>
    <w:rsid w:val="00A25E79"/>
    <w:rsid w:val="00A27927"/>
    <w:rsid w:val="00A407A4"/>
    <w:rsid w:val="00A42682"/>
    <w:rsid w:val="00A42F63"/>
    <w:rsid w:val="00A43391"/>
    <w:rsid w:val="00A5392A"/>
    <w:rsid w:val="00A54CA0"/>
    <w:rsid w:val="00A62188"/>
    <w:rsid w:val="00A63ED5"/>
    <w:rsid w:val="00A66AF6"/>
    <w:rsid w:val="00A66FE3"/>
    <w:rsid w:val="00A67F54"/>
    <w:rsid w:val="00A70398"/>
    <w:rsid w:val="00A82664"/>
    <w:rsid w:val="00A8576C"/>
    <w:rsid w:val="00A92584"/>
    <w:rsid w:val="00A93830"/>
    <w:rsid w:val="00A96295"/>
    <w:rsid w:val="00AA2838"/>
    <w:rsid w:val="00AA489C"/>
    <w:rsid w:val="00AA58BD"/>
    <w:rsid w:val="00AB4284"/>
    <w:rsid w:val="00AB4BE8"/>
    <w:rsid w:val="00AB57A4"/>
    <w:rsid w:val="00AC0D77"/>
    <w:rsid w:val="00AC4A11"/>
    <w:rsid w:val="00AC7970"/>
    <w:rsid w:val="00AD79C2"/>
    <w:rsid w:val="00AE0479"/>
    <w:rsid w:val="00AE3174"/>
    <w:rsid w:val="00AE5D5E"/>
    <w:rsid w:val="00AF4492"/>
    <w:rsid w:val="00AF4870"/>
    <w:rsid w:val="00AF77B0"/>
    <w:rsid w:val="00B007B9"/>
    <w:rsid w:val="00B01BE6"/>
    <w:rsid w:val="00B020CC"/>
    <w:rsid w:val="00B07B75"/>
    <w:rsid w:val="00B102E8"/>
    <w:rsid w:val="00B134C7"/>
    <w:rsid w:val="00B14071"/>
    <w:rsid w:val="00B1446A"/>
    <w:rsid w:val="00B15DDE"/>
    <w:rsid w:val="00B162E6"/>
    <w:rsid w:val="00B21D99"/>
    <w:rsid w:val="00B23526"/>
    <w:rsid w:val="00B246A9"/>
    <w:rsid w:val="00B30257"/>
    <w:rsid w:val="00B30BD5"/>
    <w:rsid w:val="00B30D3E"/>
    <w:rsid w:val="00B30E87"/>
    <w:rsid w:val="00B313ED"/>
    <w:rsid w:val="00B33B86"/>
    <w:rsid w:val="00B3427D"/>
    <w:rsid w:val="00B34A3D"/>
    <w:rsid w:val="00B36FA0"/>
    <w:rsid w:val="00B401D6"/>
    <w:rsid w:val="00B40466"/>
    <w:rsid w:val="00B410BB"/>
    <w:rsid w:val="00B41A0C"/>
    <w:rsid w:val="00B441BB"/>
    <w:rsid w:val="00B45D08"/>
    <w:rsid w:val="00B47CAE"/>
    <w:rsid w:val="00B54CB3"/>
    <w:rsid w:val="00B60069"/>
    <w:rsid w:val="00B60C24"/>
    <w:rsid w:val="00B727DC"/>
    <w:rsid w:val="00B72F76"/>
    <w:rsid w:val="00B75EDC"/>
    <w:rsid w:val="00B76774"/>
    <w:rsid w:val="00B76976"/>
    <w:rsid w:val="00B76FC4"/>
    <w:rsid w:val="00B823FB"/>
    <w:rsid w:val="00B832AB"/>
    <w:rsid w:val="00B8678E"/>
    <w:rsid w:val="00B91556"/>
    <w:rsid w:val="00B94E46"/>
    <w:rsid w:val="00B95F73"/>
    <w:rsid w:val="00BA31B3"/>
    <w:rsid w:val="00BA4A1C"/>
    <w:rsid w:val="00BA5D86"/>
    <w:rsid w:val="00BA78C0"/>
    <w:rsid w:val="00BB4F7C"/>
    <w:rsid w:val="00BB69DE"/>
    <w:rsid w:val="00BB7D60"/>
    <w:rsid w:val="00BD0CBD"/>
    <w:rsid w:val="00BD135C"/>
    <w:rsid w:val="00BD1E17"/>
    <w:rsid w:val="00BD24DB"/>
    <w:rsid w:val="00BD367C"/>
    <w:rsid w:val="00BD7A85"/>
    <w:rsid w:val="00BD7E12"/>
    <w:rsid w:val="00BE48C6"/>
    <w:rsid w:val="00BE61CD"/>
    <w:rsid w:val="00BE66D4"/>
    <w:rsid w:val="00BF128C"/>
    <w:rsid w:val="00BF1762"/>
    <w:rsid w:val="00BF4836"/>
    <w:rsid w:val="00BF7049"/>
    <w:rsid w:val="00BF796D"/>
    <w:rsid w:val="00C00434"/>
    <w:rsid w:val="00C005A8"/>
    <w:rsid w:val="00C006BB"/>
    <w:rsid w:val="00C01CB3"/>
    <w:rsid w:val="00C0716D"/>
    <w:rsid w:val="00C11F35"/>
    <w:rsid w:val="00C20D36"/>
    <w:rsid w:val="00C22F77"/>
    <w:rsid w:val="00C24F87"/>
    <w:rsid w:val="00C264DD"/>
    <w:rsid w:val="00C26D49"/>
    <w:rsid w:val="00C26F0D"/>
    <w:rsid w:val="00C32049"/>
    <w:rsid w:val="00C329D9"/>
    <w:rsid w:val="00C34225"/>
    <w:rsid w:val="00C37561"/>
    <w:rsid w:val="00C4393A"/>
    <w:rsid w:val="00C51F42"/>
    <w:rsid w:val="00C613A6"/>
    <w:rsid w:val="00C6299D"/>
    <w:rsid w:val="00C71B56"/>
    <w:rsid w:val="00C71B75"/>
    <w:rsid w:val="00C755CD"/>
    <w:rsid w:val="00C80A65"/>
    <w:rsid w:val="00C81A8C"/>
    <w:rsid w:val="00C947EB"/>
    <w:rsid w:val="00C956BB"/>
    <w:rsid w:val="00C96B49"/>
    <w:rsid w:val="00C97911"/>
    <w:rsid w:val="00C97B1C"/>
    <w:rsid w:val="00CA5712"/>
    <w:rsid w:val="00CA57C7"/>
    <w:rsid w:val="00CA6793"/>
    <w:rsid w:val="00CB1FBF"/>
    <w:rsid w:val="00CB2F30"/>
    <w:rsid w:val="00CB6A20"/>
    <w:rsid w:val="00CB7297"/>
    <w:rsid w:val="00CD1875"/>
    <w:rsid w:val="00CD2AD3"/>
    <w:rsid w:val="00CD5504"/>
    <w:rsid w:val="00CD6632"/>
    <w:rsid w:val="00CD6D0D"/>
    <w:rsid w:val="00CD6EEB"/>
    <w:rsid w:val="00CD734C"/>
    <w:rsid w:val="00CE16A5"/>
    <w:rsid w:val="00CE23CF"/>
    <w:rsid w:val="00CF0453"/>
    <w:rsid w:val="00D02186"/>
    <w:rsid w:val="00D06CBC"/>
    <w:rsid w:val="00D10557"/>
    <w:rsid w:val="00D11E74"/>
    <w:rsid w:val="00D12C23"/>
    <w:rsid w:val="00D15981"/>
    <w:rsid w:val="00D16A10"/>
    <w:rsid w:val="00D2000E"/>
    <w:rsid w:val="00D209CC"/>
    <w:rsid w:val="00D20A5F"/>
    <w:rsid w:val="00D21381"/>
    <w:rsid w:val="00D223D0"/>
    <w:rsid w:val="00D2499C"/>
    <w:rsid w:val="00D3536D"/>
    <w:rsid w:val="00D3553B"/>
    <w:rsid w:val="00D40853"/>
    <w:rsid w:val="00D43AF7"/>
    <w:rsid w:val="00D43CC6"/>
    <w:rsid w:val="00D453C0"/>
    <w:rsid w:val="00D51150"/>
    <w:rsid w:val="00D5156C"/>
    <w:rsid w:val="00D5209E"/>
    <w:rsid w:val="00D6022D"/>
    <w:rsid w:val="00D64F44"/>
    <w:rsid w:val="00D66DDB"/>
    <w:rsid w:val="00D675D0"/>
    <w:rsid w:val="00D728AE"/>
    <w:rsid w:val="00D807A0"/>
    <w:rsid w:val="00D81728"/>
    <w:rsid w:val="00D86C72"/>
    <w:rsid w:val="00D8734C"/>
    <w:rsid w:val="00D873E2"/>
    <w:rsid w:val="00D917CC"/>
    <w:rsid w:val="00D975DA"/>
    <w:rsid w:val="00DA20D1"/>
    <w:rsid w:val="00DA2A17"/>
    <w:rsid w:val="00DA2B9D"/>
    <w:rsid w:val="00DA3E8B"/>
    <w:rsid w:val="00DA4C9C"/>
    <w:rsid w:val="00DA56C2"/>
    <w:rsid w:val="00DA71DA"/>
    <w:rsid w:val="00DA779D"/>
    <w:rsid w:val="00DB0F91"/>
    <w:rsid w:val="00DB538B"/>
    <w:rsid w:val="00DC18C9"/>
    <w:rsid w:val="00DC67EA"/>
    <w:rsid w:val="00DC6888"/>
    <w:rsid w:val="00DC75BC"/>
    <w:rsid w:val="00DD6D66"/>
    <w:rsid w:val="00DD793F"/>
    <w:rsid w:val="00DE0EC0"/>
    <w:rsid w:val="00DE1B3B"/>
    <w:rsid w:val="00DE2DA8"/>
    <w:rsid w:val="00DE544B"/>
    <w:rsid w:val="00DE5FCD"/>
    <w:rsid w:val="00DE797F"/>
    <w:rsid w:val="00DE79C5"/>
    <w:rsid w:val="00DF394E"/>
    <w:rsid w:val="00DF3E2F"/>
    <w:rsid w:val="00E07CE7"/>
    <w:rsid w:val="00E118E5"/>
    <w:rsid w:val="00E118E9"/>
    <w:rsid w:val="00E129D3"/>
    <w:rsid w:val="00E13F73"/>
    <w:rsid w:val="00E15405"/>
    <w:rsid w:val="00E154B8"/>
    <w:rsid w:val="00E15688"/>
    <w:rsid w:val="00E163A2"/>
    <w:rsid w:val="00E1690B"/>
    <w:rsid w:val="00E16AE5"/>
    <w:rsid w:val="00E1780F"/>
    <w:rsid w:val="00E23217"/>
    <w:rsid w:val="00E23E6D"/>
    <w:rsid w:val="00E23FE3"/>
    <w:rsid w:val="00E2472C"/>
    <w:rsid w:val="00E248E3"/>
    <w:rsid w:val="00E2509F"/>
    <w:rsid w:val="00E26477"/>
    <w:rsid w:val="00E26CEA"/>
    <w:rsid w:val="00E274DD"/>
    <w:rsid w:val="00E27AE4"/>
    <w:rsid w:val="00E3265A"/>
    <w:rsid w:val="00E3510B"/>
    <w:rsid w:val="00E53B49"/>
    <w:rsid w:val="00E546B6"/>
    <w:rsid w:val="00E63CD6"/>
    <w:rsid w:val="00E64AAF"/>
    <w:rsid w:val="00E6566F"/>
    <w:rsid w:val="00E714B7"/>
    <w:rsid w:val="00E724EB"/>
    <w:rsid w:val="00E84C79"/>
    <w:rsid w:val="00E8555B"/>
    <w:rsid w:val="00E86D27"/>
    <w:rsid w:val="00E94496"/>
    <w:rsid w:val="00E96A07"/>
    <w:rsid w:val="00EA3BEA"/>
    <w:rsid w:val="00EA5B68"/>
    <w:rsid w:val="00EB1F2E"/>
    <w:rsid w:val="00EB726A"/>
    <w:rsid w:val="00EC0B9E"/>
    <w:rsid w:val="00EC406C"/>
    <w:rsid w:val="00EC66F8"/>
    <w:rsid w:val="00EC6F5A"/>
    <w:rsid w:val="00ED058D"/>
    <w:rsid w:val="00ED1889"/>
    <w:rsid w:val="00ED2700"/>
    <w:rsid w:val="00ED7DF7"/>
    <w:rsid w:val="00EE0166"/>
    <w:rsid w:val="00EE1B09"/>
    <w:rsid w:val="00EE71AC"/>
    <w:rsid w:val="00EE73A2"/>
    <w:rsid w:val="00EE7855"/>
    <w:rsid w:val="00EF2D43"/>
    <w:rsid w:val="00EF50AD"/>
    <w:rsid w:val="00EF5DB0"/>
    <w:rsid w:val="00EF6848"/>
    <w:rsid w:val="00EF756F"/>
    <w:rsid w:val="00F001B5"/>
    <w:rsid w:val="00F01EF1"/>
    <w:rsid w:val="00F03306"/>
    <w:rsid w:val="00F059E0"/>
    <w:rsid w:val="00F06144"/>
    <w:rsid w:val="00F07262"/>
    <w:rsid w:val="00F077DE"/>
    <w:rsid w:val="00F10F60"/>
    <w:rsid w:val="00F11829"/>
    <w:rsid w:val="00F11D6C"/>
    <w:rsid w:val="00F11FE6"/>
    <w:rsid w:val="00F16D37"/>
    <w:rsid w:val="00F16F98"/>
    <w:rsid w:val="00F20B9A"/>
    <w:rsid w:val="00F21D0E"/>
    <w:rsid w:val="00F23D68"/>
    <w:rsid w:val="00F24169"/>
    <w:rsid w:val="00F245FE"/>
    <w:rsid w:val="00F24F84"/>
    <w:rsid w:val="00F2551D"/>
    <w:rsid w:val="00F25818"/>
    <w:rsid w:val="00F26F6F"/>
    <w:rsid w:val="00F27E3B"/>
    <w:rsid w:val="00F30C85"/>
    <w:rsid w:val="00F3275B"/>
    <w:rsid w:val="00F33077"/>
    <w:rsid w:val="00F35A10"/>
    <w:rsid w:val="00F40DDB"/>
    <w:rsid w:val="00F4346D"/>
    <w:rsid w:val="00F4526A"/>
    <w:rsid w:val="00F4565F"/>
    <w:rsid w:val="00F5307F"/>
    <w:rsid w:val="00F57684"/>
    <w:rsid w:val="00F63BBA"/>
    <w:rsid w:val="00F701B4"/>
    <w:rsid w:val="00F75C81"/>
    <w:rsid w:val="00F77CFA"/>
    <w:rsid w:val="00F82767"/>
    <w:rsid w:val="00F8300C"/>
    <w:rsid w:val="00F83EA6"/>
    <w:rsid w:val="00F8526F"/>
    <w:rsid w:val="00F906CC"/>
    <w:rsid w:val="00F90C92"/>
    <w:rsid w:val="00F91FBF"/>
    <w:rsid w:val="00F9259B"/>
    <w:rsid w:val="00F9387C"/>
    <w:rsid w:val="00F97CB9"/>
    <w:rsid w:val="00FA1541"/>
    <w:rsid w:val="00FA3B88"/>
    <w:rsid w:val="00FA4CCC"/>
    <w:rsid w:val="00FA7C03"/>
    <w:rsid w:val="00FB0B5F"/>
    <w:rsid w:val="00FB310D"/>
    <w:rsid w:val="00FB590F"/>
    <w:rsid w:val="00FB664A"/>
    <w:rsid w:val="00FC02C4"/>
    <w:rsid w:val="00FC4F57"/>
    <w:rsid w:val="00FD02A7"/>
    <w:rsid w:val="00FD2CFB"/>
    <w:rsid w:val="00FD5FEB"/>
    <w:rsid w:val="00FD7D31"/>
    <w:rsid w:val="00FE0823"/>
    <w:rsid w:val="00FE1F26"/>
    <w:rsid w:val="00FE3A98"/>
    <w:rsid w:val="00FE4A92"/>
    <w:rsid w:val="00FE4C8B"/>
    <w:rsid w:val="00FE4CC4"/>
    <w:rsid w:val="00FE623B"/>
    <w:rsid w:val="00FE6388"/>
    <w:rsid w:val="00FE6661"/>
    <w:rsid w:val="00FE757A"/>
    <w:rsid w:val="00FF3400"/>
    <w:rsid w:val="00FF3AD0"/>
    <w:rsid w:val="00FF463A"/>
    <w:rsid w:val="00FF79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DE74E"/>
  <w15:chartTrackingRefBased/>
  <w15:docId w15:val="{BD644072-9336-4869-8BB7-9992C3540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CorpsTexteI10BT"/>
    <w:rsid w:val="002E7264"/>
    <w:pPr>
      <w:suppressAutoHyphens/>
      <w:spacing w:after="60" w:line="240" w:lineRule="auto"/>
      <w:jc w:val="both"/>
    </w:pPr>
    <w:rPr>
      <w:rFonts w:ascii="Arial" w:hAnsi="Arial" w:cs="Times New Roman"/>
      <w:color w:val="263F6A"/>
      <w:szCs w:val="24"/>
      <w:lang w:eastAsia="fr-FR"/>
    </w:rPr>
  </w:style>
  <w:style w:type="paragraph" w:styleId="1">
    <w:name w:val="heading 1"/>
    <w:basedOn w:val="CorpsTexteI10BT"/>
    <w:next w:val="CorpsTexteI10BT"/>
    <w:link w:val="1Char"/>
    <w:uiPriority w:val="9"/>
    <w:qFormat/>
    <w:rsid w:val="00AA2838"/>
    <w:pPr>
      <w:keepNext/>
      <w:numPr>
        <w:numId w:val="41"/>
      </w:numPr>
      <w:tabs>
        <w:tab w:val="left" w:pos="567"/>
        <w:tab w:val="left" w:pos="1134"/>
        <w:tab w:val="left" w:pos="1701"/>
        <w:tab w:val="left" w:pos="2268"/>
        <w:tab w:val="left" w:pos="2835"/>
        <w:tab w:val="left" w:pos="3402"/>
      </w:tabs>
      <w:spacing w:before="480" w:after="240"/>
      <w:jc w:val="left"/>
      <w:outlineLvl w:val="0"/>
    </w:pPr>
    <w:rPr>
      <w:b/>
      <w:bCs/>
      <w:caps/>
      <w:spacing w:val="24"/>
      <w:kern w:val="32"/>
      <w:sz w:val="24"/>
      <w:szCs w:val="32"/>
    </w:rPr>
  </w:style>
  <w:style w:type="paragraph" w:styleId="2">
    <w:name w:val="heading 2"/>
    <w:basedOn w:val="1"/>
    <w:next w:val="CorpsTexteI10BT"/>
    <w:link w:val="2Char"/>
    <w:uiPriority w:val="9"/>
    <w:qFormat/>
    <w:rsid w:val="00A25E79"/>
    <w:pPr>
      <w:numPr>
        <w:ilvl w:val="1"/>
      </w:numPr>
      <w:tabs>
        <w:tab w:val="clear" w:pos="576"/>
        <w:tab w:val="left" w:pos="851"/>
      </w:tabs>
      <w:spacing w:before="240"/>
      <w:outlineLvl w:val="1"/>
    </w:pPr>
    <w:rPr>
      <w:rFonts w:eastAsia="Times New Roman"/>
      <w:bCs w:val="0"/>
      <w:iCs/>
      <w:caps w:val="0"/>
      <w:spacing w:val="22"/>
      <w:sz w:val="22"/>
      <w:szCs w:val="28"/>
    </w:rPr>
  </w:style>
  <w:style w:type="paragraph" w:styleId="3">
    <w:name w:val="heading 3"/>
    <w:basedOn w:val="2"/>
    <w:next w:val="CorpsTexteI10BT"/>
    <w:link w:val="3Char"/>
    <w:uiPriority w:val="9"/>
    <w:qFormat/>
    <w:rsid w:val="000E6955"/>
    <w:pPr>
      <w:numPr>
        <w:ilvl w:val="2"/>
      </w:numPr>
      <w:tabs>
        <w:tab w:val="clear" w:pos="851"/>
      </w:tabs>
      <w:spacing w:after="120"/>
      <w:jc w:val="both"/>
      <w:outlineLvl w:val="2"/>
    </w:pPr>
    <w:rPr>
      <w:bCs/>
      <w:spacing w:val="24"/>
      <w:sz w:val="24"/>
      <w:szCs w:val="24"/>
    </w:rPr>
  </w:style>
  <w:style w:type="paragraph" w:styleId="4">
    <w:name w:val="heading 4"/>
    <w:basedOn w:val="3"/>
    <w:next w:val="CorpsTexteI10BT"/>
    <w:link w:val="4Char"/>
    <w:uiPriority w:val="9"/>
    <w:qFormat/>
    <w:rsid w:val="00F06144"/>
    <w:pPr>
      <w:numPr>
        <w:ilvl w:val="3"/>
      </w:numPr>
      <w:tabs>
        <w:tab w:val="clear" w:pos="1134"/>
        <w:tab w:val="left" w:pos="1418"/>
      </w:tabs>
      <w:spacing w:before="120"/>
      <w:outlineLvl w:val="3"/>
    </w:pPr>
    <w:rPr>
      <w:bCs w:val="0"/>
      <w:szCs w:val="28"/>
    </w:rPr>
  </w:style>
  <w:style w:type="paragraph" w:styleId="5">
    <w:name w:val="heading 5"/>
    <w:basedOn w:val="4"/>
    <w:next w:val="CorpsTexteI10BT"/>
    <w:link w:val="5Char"/>
    <w:uiPriority w:val="9"/>
    <w:qFormat/>
    <w:rsid w:val="00F06144"/>
    <w:pPr>
      <w:numPr>
        <w:ilvl w:val="4"/>
      </w:numPr>
      <w:tabs>
        <w:tab w:val="clear" w:pos="1418"/>
      </w:tabs>
      <w:spacing w:after="60"/>
      <w:contextualSpacing/>
      <w:outlineLvl w:val="4"/>
    </w:pPr>
    <w:rPr>
      <w:bCs/>
      <w:iCs w:val="0"/>
      <w:szCs w:val="24"/>
    </w:rPr>
  </w:style>
  <w:style w:type="paragraph" w:styleId="6">
    <w:name w:val="heading 6"/>
    <w:basedOn w:val="5"/>
    <w:next w:val="CorpsTexteI10BT"/>
    <w:link w:val="6Char"/>
    <w:uiPriority w:val="9"/>
    <w:qFormat/>
    <w:rsid w:val="00F06144"/>
    <w:pPr>
      <w:numPr>
        <w:ilvl w:val="5"/>
      </w:numPr>
      <w:tabs>
        <w:tab w:val="clear" w:pos="1701"/>
        <w:tab w:val="left" w:pos="1985"/>
      </w:tabs>
      <w:outlineLvl w:val="5"/>
    </w:pPr>
    <w:rPr>
      <w:rFonts w:cs="Times New Roman"/>
      <w:bCs w:val="0"/>
    </w:rPr>
  </w:style>
  <w:style w:type="paragraph" w:styleId="7">
    <w:name w:val="heading 7"/>
    <w:basedOn w:val="6"/>
    <w:next w:val="CorpsTexteI10BT"/>
    <w:link w:val="7Char"/>
    <w:uiPriority w:val="9"/>
    <w:qFormat/>
    <w:rsid w:val="00F06144"/>
    <w:pPr>
      <w:numPr>
        <w:ilvl w:val="6"/>
      </w:numPr>
      <w:tabs>
        <w:tab w:val="clear" w:pos="1985"/>
      </w:tabs>
      <w:outlineLvl w:val="6"/>
    </w:pPr>
  </w:style>
  <w:style w:type="paragraph" w:styleId="8">
    <w:name w:val="heading 8"/>
    <w:basedOn w:val="7"/>
    <w:next w:val="CorpsTexteI10BT"/>
    <w:link w:val="8Char"/>
    <w:uiPriority w:val="9"/>
    <w:qFormat/>
    <w:rsid w:val="00F06144"/>
    <w:pPr>
      <w:numPr>
        <w:ilvl w:val="7"/>
      </w:numPr>
      <w:tabs>
        <w:tab w:val="clear" w:pos="2268"/>
        <w:tab w:val="left" w:pos="2552"/>
      </w:tabs>
      <w:outlineLvl w:val="7"/>
    </w:pPr>
    <w:rPr>
      <w:iCs/>
    </w:rPr>
  </w:style>
  <w:style w:type="paragraph" w:styleId="9">
    <w:name w:val="heading 9"/>
    <w:basedOn w:val="8"/>
    <w:next w:val="CorpsTexteI10BT"/>
    <w:link w:val="9Char"/>
    <w:uiPriority w:val="9"/>
    <w:qFormat/>
    <w:rsid w:val="00F06144"/>
    <w:pPr>
      <w:numPr>
        <w:ilvl w:val="8"/>
      </w:numPr>
      <w:tabs>
        <w:tab w:val="clear" w:pos="2552"/>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rpsTexteI15BT">
    <w:name w:val="Corps Texte I1.5 BT"/>
    <w:rsid w:val="00F06144"/>
    <w:pPr>
      <w:suppressAutoHyphens/>
      <w:spacing w:after="0" w:line="360" w:lineRule="auto"/>
      <w:jc w:val="both"/>
    </w:pPr>
    <w:rPr>
      <w:rFonts w:ascii="Arial" w:eastAsia="Calibri" w:hAnsi="Arial" w:cs="Arial"/>
      <w:color w:val="263F6A"/>
    </w:rPr>
  </w:style>
  <w:style w:type="paragraph" w:customStyle="1" w:styleId="CorpsTexteI10BT">
    <w:name w:val="Corps Texte I1.0 BT"/>
    <w:basedOn w:val="CorpsTexteI15BT"/>
    <w:link w:val="CorpsTexteI10BTCar"/>
    <w:qFormat/>
    <w:rsid w:val="005D7568"/>
    <w:pPr>
      <w:spacing w:after="60" w:line="240" w:lineRule="auto"/>
    </w:pPr>
  </w:style>
  <w:style w:type="paragraph" w:styleId="a4">
    <w:name w:val="header"/>
    <w:basedOn w:val="a0"/>
    <w:link w:val="Char"/>
    <w:rsid w:val="00F06144"/>
    <w:pPr>
      <w:tabs>
        <w:tab w:val="center" w:pos="4536"/>
        <w:tab w:val="right" w:pos="9072"/>
      </w:tabs>
    </w:pPr>
  </w:style>
  <w:style w:type="character" w:customStyle="1" w:styleId="Char">
    <w:name w:val="Κεφαλίδα Char"/>
    <w:basedOn w:val="a1"/>
    <w:link w:val="a4"/>
    <w:rsid w:val="00F06144"/>
    <w:rPr>
      <w:rFonts w:ascii="Arial" w:eastAsia="Times New Roman" w:hAnsi="Arial" w:cs="Times New Roman"/>
      <w:color w:val="263F6A"/>
      <w:szCs w:val="24"/>
      <w:lang w:eastAsia="fr-FR"/>
    </w:rPr>
  </w:style>
  <w:style w:type="table" w:styleId="a5">
    <w:name w:val="Table Grid"/>
    <w:basedOn w:val="a2"/>
    <w:uiPriority w:val="59"/>
    <w:rsid w:val="00F06144"/>
    <w:pPr>
      <w:spacing w:after="0" w:line="240" w:lineRule="auto"/>
      <w:jc w:val="center"/>
    </w:pPr>
    <w:rPr>
      <w:rFonts w:ascii="Arial" w:hAnsi="Arial" w:cs="Times New Roman"/>
      <w:color w:val="263F6A"/>
      <w:szCs w:val="20"/>
      <w:lang w:eastAsia="fr-FR"/>
    </w:rPr>
    <w:tblPr>
      <w:jc w:val="center"/>
      <w:tblBorders>
        <w:top w:val="single" w:sz="4" w:space="0" w:color="263F6A"/>
        <w:left w:val="single" w:sz="4" w:space="0" w:color="263F6A"/>
        <w:bottom w:val="single" w:sz="4" w:space="0" w:color="263F6A"/>
        <w:right w:val="single" w:sz="4" w:space="0" w:color="263F6A"/>
        <w:insideH w:val="single" w:sz="4" w:space="0" w:color="263F6A"/>
        <w:insideV w:val="single" w:sz="4" w:space="0" w:color="263F6A"/>
      </w:tblBorders>
    </w:tblPr>
    <w:trPr>
      <w:jc w:val="center"/>
    </w:trPr>
    <w:tcPr>
      <w:shd w:val="clear" w:color="auto" w:fill="auto"/>
      <w:vAlign w:val="center"/>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styleId="a6">
    <w:name w:val="caption"/>
    <w:basedOn w:val="a0"/>
    <w:next w:val="a0"/>
    <w:qFormat/>
    <w:rsid w:val="00F06144"/>
    <w:pPr>
      <w:jc w:val="center"/>
    </w:pPr>
    <w:rPr>
      <w:rFonts w:eastAsia="Calibri" w:cs="Arial"/>
      <w:b/>
      <w:bCs/>
      <w:sz w:val="20"/>
      <w:szCs w:val="20"/>
      <w:lang w:eastAsia="en-US"/>
    </w:rPr>
  </w:style>
  <w:style w:type="character" w:styleId="-">
    <w:name w:val="Hyperlink"/>
    <w:basedOn w:val="a1"/>
    <w:uiPriority w:val="99"/>
    <w:unhideWhenUsed/>
    <w:rsid w:val="00F06144"/>
    <w:rPr>
      <w:color w:val="0563C1" w:themeColor="hyperlink"/>
      <w:u w:val="single"/>
    </w:rPr>
  </w:style>
  <w:style w:type="paragraph" w:styleId="a">
    <w:name w:val="List Bullet"/>
    <w:basedOn w:val="CorpsTexteI10BT"/>
    <w:uiPriority w:val="1"/>
    <w:qFormat/>
    <w:rsid w:val="00F06144"/>
    <w:pPr>
      <w:numPr>
        <w:numId w:val="2"/>
      </w:numPr>
    </w:pPr>
  </w:style>
  <w:style w:type="paragraph" w:styleId="Web">
    <w:name w:val="Normal (Web)"/>
    <w:basedOn w:val="a0"/>
    <w:uiPriority w:val="99"/>
    <w:semiHidden/>
    <w:unhideWhenUsed/>
    <w:rsid w:val="00F06144"/>
    <w:pPr>
      <w:suppressAutoHyphens w:val="0"/>
      <w:spacing w:before="100" w:beforeAutospacing="1" w:after="100" w:afterAutospacing="1"/>
      <w:jc w:val="left"/>
    </w:pPr>
    <w:rPr>
      <w:rFonts w:ascii="Times New Roman" w:hAnsi="Times New Roman"/>
      <w:color w:val="auto"/>
      <w:sz w:val="24"/>
    </w:rPr>
  </w:style>
  <w:style w:type="paragraph" w:styleId="a7">
    <w:name w:val="footer"/>
    <w:basedOn w:val="a0"/>
    <w:link w:val="Char0"/>
    <w:rsid w:val="00F06144"/>
    <w:pPr>
      <w:tabs>
        <w:tab w:val="center" w:pos="4536"/>
        <w:tab w:val="right" w:pos="9072"/>
      </w:tabs>
    </w:pPr>
  </w:style>
  <w:style w:type="character" w:customStyle="1" w:styleId="Char0">
    <w:name w:val="Υποσέλιδο Char"/>
    <w:basedOn w:val="a1"/>
    <w:link w:val="a7"/>
    <w:rsid w:val="00F06144"/>
    <w:rPr>
      <w:rFonts w:ascii="Arial" w:eastAsia="Times New Roman" w:hAnsi="Arial" w:cs="Times New Roman"/>
      <w:color w:val="263F6A"/>
      <w:szCs w:val="24"/>
      <w:lang w:eastAsia="fr-FR"/>
    </w:rPr>
  </w:style>
  <w:style w:type="paragraph" w:customStyle="1" w:styleId="Texte">
    <w:name w:val="Texte"/>
    <w:rsid w:val="00F06144"/>
    <w:pPr>
      <w:keepLines/>
      <w:spacing w:before="120" w:after="0" w:line="240" w:lineRule="auto"/>
      <w:jc w:val="both"/>
    </w:pPr>
    <w:rPr>
      <w:rFonts w:ascii="Arial" w:eastAsia="Calibri" w:hAnsi="Arial" w:cs="Times New Roman"/>
      <w:lang w:eastAsia="fr-FR"/>
    </w:rPr>
  </w:style>
  <w:style w:type="paragraph" w:styleId="a8">
    <w:name w:val="Balloon Text"/>
    <w:basedOn w:val="a0"/>
    <w:link w:val="Char1"/>
    <w:semiHidden/>
    <w:rsid w:val="00F06144"/>
    <w:rPr>
      <w:rFonts w:ascii="Tahoma" w:hAnsi="Tahoma" w:cs="Tahoma"/>
      <w:sz w:val="16"/>
      <w:szCs w:val="16"/>
    </w:rPr>
  </w:style>
  <w:style w:type="character" w:customStyle="1" w:styleId="Char1">
    <w:name w:val="Κείμενο πλαισίου Char"/>
    <w:basedOn w:val="a1"/>
    <w:link w:val="a8"/>
    <w:semiHidden/>
    <w:rsid w:val="00F06144"/>
    <w:rPr>
      <w:rFonts w:ascii="Tahoma" w:eastAsia="Times New Roman" w:hAnsi="Tahoma" w:cs="Tahoma"/>
      <w:color w:val="263F6A"/>
      <w:sz w:val="16"/>
      <w:szCs w:val="16"/>
      <w:lang w:eastAsia="fr-FR"/>
    </w:rPr>
  </w:style>
  <w:style w:type="character" w:customStyle="1" w:styleId="1Char">
    <w:name w:val="Επικεφαλίδα 1 Char"/>
    <w:basedOn w:val="a1"/>
    <w:link w:val="1"/>
    <w:uiPriority w:val="9"/>
    <w:rsid w:val="00AA2838"/>
    <w:rPr>
      <w:rFonts w:ascii="Arial" w:eastAsia="Calibri" w:hAnsi="Arial" w:cs="Arial"/>
      <w:b/>
      <w:bCs/>
      <w:caps/>
      <w:color w:val="263F6A"/>
      <w:spacing w:val="24"/>
      <w:kern w:val="32"/>
      <w:sz w:val="24"/>
      <w:szCs w:val="32"/>
    </w:rPr>
  </w:style>
  <w:style w:type="character" w:customStyle="1" w:styleId="2Char">
    <w:name w:val="Επικεφαλίδα 2 Char"/>
    <w:basedOn w:val="a1"/>
    <w:link w:val="2"/>
    <w:uiPriority w:val="9"/>
    <w:rsid w:val="00A25E79"/>
    <w:rPr>
      <w:rFonts w:ascii="Arial" w:hAnsi="Arial" w:cs="Arial"/>
      <w:b/>
      <w:iCs/>
      <w:color w:val="263F6A"/>
      <w:spacing w:val="22"/>
      <w:kern w:val="32"/>
      <w:szCs w:val="28"/>
    </w:rPr>
  </w:style>
  <w:style w:type="character" w:customStyle="1" w:styleId="3Char">
    <w:name w:val="Επικεφαλίδα 3 Char"/>
    <w:basedOn w:val="a1"/>
    <w:link w:val="3"/>
    <w:uiPriority w:val="9"/>
    <w:rsid w:val="000E6955"/>
    <w:rPr>
      <w:rFonts w:ascii="Arial" w:hAnsi="Arial" w:cs="Arial"/>
      <w:b/>
      <w:bCs/>
      <w:iCs/>
      <w:color w:val="263F6A"/>
      <w:spacing w:val="24"/>
      <w:kern w:val="32"/>
      <w:sz w:val="24"/>
      <w:szCs w:val="24"/>
    </w:rPr>
  </w:style>
  <w:style w:type="character" w:customStyle="1" w:styleId="4Char">
    <w:name w:val="Επικεφαλίδα 4 Char"/>
    <w:basedOn w:val="a1"/>
    <w:link w:val="4"/>
    <w:uiPriority w:val="9"/>
    <w:rsid w:val="00F06144"/>
    <w:rPr>
      <w:rFonts w:ascii="Arial" w:eastAsia="Times New Roman" w:hAnsi="Arial" w:cs="Arial"/>
      <w:b/>
      <w:iCs/>
      <w:color w:val="263F6A"/>
      <w:spacing w:val="24"/>
      <w:kern w:val="32"/>
      <w:sz w:val="24"/>
      <w:szCs w:val="28"/>
    </w:rPr>
  </w:style>
  <w:style w:type="character" w:customStyle="1" w:styleId="5Char">
    <w:name w:val="Επικεφαλίδα 5 Char"/>
    <w:basedOn w:val="a1"/>
    <w:link w:val="5"/>
    <w:uiPriority w:val="9"/>
    <w:rsid w:val="00F06144"/>
    <w:rPr>
      <w:rFonts w:ascii="Arial" w:eastAsia="Times New Roman" w:hAnsi="Arial" w:cs="Arial"/>
      <w:b/>
      <w:bCs/>
      <w:color w:val="263F6A"/>
      <w:spacing w:val="24"/>
      <w:kern w:val="32"/>
      <w:sz w:val="24"/>
      <w:szCs w:val="24"/>
    </w:rPr>
  </w:style>
  <w:style w:type="character" w:customStyle="1" w:styleId="6Char">
    <w:name w:val="Επικεφαλίδα 6 Char"/>
    <w:basedOn w:val="a1"/>
    <w:link w:val="6"/>
    <w:uiPriority w:val="9"/>
    <w:rsid w:val="00F06144"/>
    <w:rPr>
      <w:rFonts w:ascii="Arial" w:eastAsia="Times New Roman" w:hAnsi="Arial" w:cs="Times New Roman"/>
      <w:b/>
      <w:color w:val="263F6A"/>
      <w:spacing w:val="24"/>
      <w:kern w:val="32"/>
      <w:sz w:val="24"/>
      <w:szCs w:val="24"/>
    </w:rPr>
  </w:style>
  <w:style w:type="character" w:customStyle="1" w:styleId="7Char">
    <w:name w:val="Επικεφαλίδα 7 Char"/>
    <w:basedOn w:val="a1"/>
    <w:link w:val="7"/>
    <w:uiPriority w:val="9"/>
    <w:rsid w:val="00F06144"/>
    <w:rPr>
      <w:rFonts w:ascii="Arial" w:eastAsia="Times New Roman" w:hAnsi="Arial" w:cs="Times New Roman"/>
      <w:b/>
      <w:color w:val="263F6A"/>
      <w:spacing w:val="24"/>
      <w:kern w:val="32"/>
      <w:sz w:val="24"/>
      <w:szCs w:val="24"/>
    </w:rPr>
  </w:style>
  <w:style w:type="character" w:customStyle="1" w:styleId="8Char">
    <w:name w:val="Επικεφαλίδα 8 Char"/>
    <w:basedOn w:val="a1"/>
    <w:link w:val="8"/>
    <w:uiPriority w:val="9"/>
    <w:rsid w:val="00F06144"/>
    <w:rPr>
      <w:rFonts w:ascii="Arial" w:eastAsia="Times New Roman" w:hAnsi="Arial" w:cs="Times New Roman"/>
      <w:b/>
      <w:iCs/>
      <w:color w:val="263F6A"/>
      <w:spacing w:val="24"/>
      <w:kern w:val="32"/>
      <w:sz w:val="24"/>
      <w:szCs w:val="24"/>
    </w:rPr>
  </w:style>
  <w:style w:type="character" w:customStyle="1" w:styleId="9Char">
    <w:name w:val="Επικεφαλίδα 9 Char"/>
    <w:basedOn w:val="a1"/>
    <w:link w:val="9"/>
    <w:uiPriority w:val="9"/>
    <w:rsid w:val="00F06144"/>
    <w:rPr>
      <w:rFonts w:ascii="Arial" w:eastAsia="Times New Roman" w:hAnsi="Arial" w:cs="Times New Roman"/>
      <w:b/>
      <w:iCs/>
      <w:color w:val="263F6A"/>
      <w:spacing w:val="24"/>
      <w:kern w:val="32"/>
      <w:sz w:val="24"/>
      <w:szCs w:val="24"/>
    </w:rPr>
  </w:style>
  <w:style w:type="paragraph" w:styleId="10">
    <w:name w:val="toc 1"/>
    <w:basedOn w:val="CorpsTexteI15BT"/>
    <w:next w:val="CorpsTexteI15BT"/>
    <w:uiPriority w:val="39"/>
    <w:unhideWhenUsed/>
    <w:rsid w:val="002E7264"/>
    <w:pPr>
      <w:tabs>
        <w:tab w:val="left" w:pos="1134"/>
      </w:tabs>
      <w:spacing w:before="60" w:after="60" w:line="240" w:lineRule="auto"/>
      <w:jc w:val="left"/>
    </w:pPr>
    <w:rPr>
      <w:rFonts w:ascii="Calibri" w:eastAsia="Times New Roman" w:hAnsi="Calibri" w:cstheme="minorHAnsi"/>
      <w:b/>
      <w:bCs/>
      <w:caps/>
      <w:sz w:val="20"/>
      <w:szCs w:val="20"/>
      <w:lang w:eastAsia="fr-FR"/>
    </w:rPr>
  </w:style>
  <w:style w:type="paragraph" w:styleId="20">
    <w:name w:val="toc 2"/>
    <w:basedOn w:val="10"/>
    <w:next w:val="CorpsTexteI15BT"/>
    <w:uiPriority w:val="39"/>
    <w:unhideWhenUsed/>
    <w:rsid w:val="00F06144"/>
    <w:pPr>
      <w:spacing w:before="0" w:after="0"/>
      <w:ind w:left="220"/>
    </w:pPr>
    <w:rPr>
      <w:b w:val="0"/>
      <w:bCs w:val="0"/>
      <w:caps w:val="0"/>
      <w:smallCaps/>
    </w:rPr>
  </w:style>
  <w:style w:type="paragraph" w:styleId="30">
    <w:name w:val="toc 3"/>
    <w:basedOn w:val="20"/>
    <w:next w:val="CorpsTexteI15BT"/>
    <w:uiPriority w:val="39"/>
    <w:unhideWhenUsed/>
    <w:rsid w:val="00F06144"/>
    <w:pPr>
      <w:ind w:left="440"/>
    </w:pPr>
    <w:rPr>
      <w:i/>
      <w:iCs/>
      <w:smallCaps w:val="0"/>
    </w:rPr>
  </w:style>
  <w:style w:type="paragraph" w:styleId="40">
    <w:name w:val="toc 4"/>
    <w:basedOn w:val="30"/>
    <w:next w:val="CorpsTexteI15BT"/>
    <w:uiPriority w:val="39"/>
    <w:unhideWhenUsed/>
    <w:rsid w:val="00F06144"/>
    <w:pPr>
      <w:ind w:left="660"/>
    </w:pPr>
    <w:rPr>
      <w:i w:val="0"/>
      <w:iCs w:val="0"/>
      <w:sz w:val="18"/>
      <w:szCs w:val="18"/>
    </w:rPr>
  </w:style>
  <w:style w:type="paragraph" w:styleId="50">
    <w:name w:val="toc 5"/>
    <w:basedOn w:val="40"/>
    <w:next w:val="CorpsTexteI15BT"/>
    <w:uiPriority w:val="39"/>
    <w:unhideWhenUsed/>
    <w:rsid w:val="00F06144"/>
    <w:pPr>
      <w:ind w:left="880"/>
    </w:pPr>
  </w:style>
  <w:style w:type="paragraph" w:styleId="60">
    <w:name w:val="toc 6"/>
    <w:basedOn w:val="50"/>
    <w:next w:val="CorpsTexteI15BT"/>
    <w:uiPriority w:val="39"/>
    <w:rsid w:val="00F06144"/>
    <w:pPr>
      <w:ind w:left="1100"/>
    </w:pPr>
  </w:style>
  <w:style w:type="paragraph" w:styleId="70">
    <w:name w:val="toc 7"/>
    <w:basedOn w:val="60"/>
    <w:next w:val="CorpsTexteI15BT"/>
    <w:uiPriority w:val="39"/>
    <w:rsid w:val="00F06144"/>
    <w:pPr>
      <w:ind w:left="1320"/>
    </w:pPr>
  </w:style>
  <w:style w:type="paragraph" w:styleId="80">
    <w:name w:val="toc 8"/>
    <w:basedOn w:val="70"/>
    <w:next w:val="CorpsTexteI15BT"/>
    <w:uiPriority w:val="39"/>
    <w:rsid w:val="00F06144"/>
    <w:pPr>
      <w:ind w:left="1540"/>
    </w:pPr>
  </w:style>
  <w:style w:type="paragraph" w:styleId="90">
    <w:name w:val="toc 9"/>
    <w:basedOn w:val="80"/>
    <w:next w:val="CorpsTexteI15BT"/>
    <w:uiPriority w:val="39"/>
    <w:rsid w:val="00F06144"/>
    <w:pPr>
      <w:ind w:left="1760"/>
    </w:pPr>
  </w:style>
  <w:style w:type="paragraph" w:customStyle="1" w:styleId="Article">
    <w:name w:val="Article"/>
    <w:basedOn w:val="1"/>
    <w:next w:val="CorpsTexteI10BT"/>
    <w:link w:val="ArticleCar"/>
    <w:rsid w:val="00A04012"/>
    <w:pPr>
      <w:numPr>
        <w:numId w:val="12"/>
      </w:numPr>
      <w:tabs>
        <w:tab w:val="clear" w:pos="567"/>
        <w:tab w:val="clear" w:pos="1134"/>
        <w:tab w:val="clear" w:pos="1701"/>
        <w:tab w:val="clear" w:pos="2268"/>
        <w:tab w:val="clear" w:pos="2835"/>
        <w:tab w:val="clear" w:pos="3402"/>
        <w:tab w:val="left" w:pos="1985"/>
      </w:tabs>
    </w:pPr>
    <w:rPr>
      <w:caps w:val="0"/>
    </w:rPr>
  </w:style>
  <w:style w:type="paragraph" w:customStyle="1" w:styleId="Article-Niv2">
    <w:name w:val="Article-Niv2"/>
    <w:basedOn w:val="Article"/>
    <w:next w:val="CorpsTexteI10BT"/>
    <w:link w:val="Article-Niv2Car"/>
    <w:rsid w:val="00A25E79"/>
    <w:pPr>
      <w:numPr>
        <w:numId w:val="16"/>
      </w:numPr>
    </w:pPr>
    <w:rPr>
      <w:sz w:val="22"/>
      <w:lang w:eastAsia="fr-FR"/>
    </w:rPr>
  </w:style>
  <w:style w:type="character" w:customStyle="1" w:styleId="ArticleCar">
    <w:name w:val="Article Car"/>
    <w:basedOn w:val="1Char"/>
    <w:link w:val="Article"/>
    <w:rsid w:val="00A04012"/>
    <w:rPr>
      <w:rFonts w:ascii="Arial" w:eastAsia="Calibri" w:hAnsi="Arial" w:cs="Arial"/>
      <w:b/>
      <w:bCs/>
      <w:caps w:val="0"/>
      <w:color w:val="263F6A"/>
      <w:spacing w:val="24"/>
      <w:kern w:val="32"/>
      <w:sz w:val="24"/>
      <w:szCs w:val="32"/>
    </w:rPr>
  </w:style>
  <w:style w:type="paragraph" w:customStyle="1" w:styleId="ArticleN2">
    <w:name w:val="ArticleN2"/>
    <w:basedOn w:val="2"/>
    <w:link w:val="ArticleN2Car"/>
    <w:rsid w:val="00A25E79"/>
  </w:style>
  <w:style w:type="character" w:customStyle="1" w:styleId="Article-Niv2Car">
    <w:name w:val="Article-Niv2 Car"/>
    <w:basedOn w:val="2Char"/>
    <w:link w:val="Article-Niv2"/>
    <w:rsid w:val="00A25E79"/>
    <w:rPr>
      <w:rFonts w:ascii="Arial" w:eastAsia="Calibri" w:hAnsi="Arial" w:cs="Arial"/>
      <w:b/>
      <w:bCs/>
      <w:iCs w:val="0"/>
      <w:color w:val="263F6A"/>
      <w:spacing w:val="24"/>
      <w:kern w:val="32"/>
      <w:szCs w:val="32"/>
      <w:lang w:eastAsia="fr-FR"/>
    </w:rPr>
  </w:style>
  <w:style w:type="character" w:styleId="a9">
    <w:name w:val="annotation reference"/>
    <w:basedOn w:val="a1"/>
    <w:uiPriority w:val="99"/>
    <w:semiHidden/>
    <w:unhideWhenUsed/>
    <w:rsid w:val="00F10F60"/>
    <w:rPr>
      <w:sz w:val="16"/>
      <w:szCs w:val="16"/>
    </w:rPr>
  </w:style>
  <w:style w:type="character" w:customStyle="1" w:styleId="ArticleN2Car">
    <w:name w:val="ArticleN2 Car"/>
    <w:basedOn w:val="2Char"/>
    <w:link w:val="ArticleN2"/>
    <w:rsid w:val="00A25E79"/>
    <w:rPr>
      <w:rFonts w:ascii="Arial" w:hAnsi="Arial" w:cs="Arial"/>
      <w:b/>
      <w:iCs/>
      <w:color w:val="263F6A"/>
      <w:spacing w:val="22"/>
      <w:kern w:val="32"/>
      <w:szCs w:val="28"/>
    </w:rPr>
  </w:style>
  <w:style w:type="paragraph" w:styleId="aa">
    <w:name w:val="annotation text"/>
    <w:basedOn w:val="a0"/>
    <w:link w:val="Char2"/>
    <w:uiPriority w:val="99"/>
    <w:semiHidden/>
    <w:unhideWhenUsed/>
    <w:rsid w:val="00F10F60"/>
    <w:rPr>
      <w:sz w:val="20"/>
      <w:szCs w:val="20"/>
    </w:rPr>
  </w:style>
  <w:style w:type="character" w:customStyle="1" w:styleId="Char2">
    <w:name w:val="Κείμενο σχολίου Char"/>
    <w:basedOn w:val="a1"/>
    <w:link w:val="aa"/>
    <w:uiPriority w:val="99"/>
    <w:semiHidden/>
    <w:rsid w:val="00F10F60"/>
    <w:rPr>
      <w:rFonts w:ascii="Arial" w:hAnsi="Arial" w:cs="Times New Roman"/>
      <w:color w:val="263F6A"/>
      <w:sz w:val="20"/>
      <w:szCs w:val="20"/>
      <w:lang w:eastAsia="fr-FR"/>
    </w:rPr>
  </w:style>
  <w:style w:type="paragraph" w:styleId="ab">
    <w:name w:val="annotation subject"/>
    <w:basedOn w:val="aa"/>
    <w:next w:val="aa"/>
    <w:link w:val="Char3"/>
    <w:semiHidden/>
    <w:unhideWhenUsed/>
    <w:rsid w:val="00F10F60"/>
    <w:rPr>
      <w:b/>
      <w:bCs/>
    </w:rPr>
  </w:style>
  <w:style w:type="character" w:customStyle="1" w:styleId="Char3">
    <w:name w:val="Θέμα σχολίου Char"/>
    <w:basedOn w:val="Char2"/>
    <w:link w:val="ab"/>
    <w:uiPriority w:val="99"/>
    <w:semiHidden/>
    <w:rsid w:val="00F10F60"/>
    <w:rPr>
      <w:rFonts w:ascii="Arial" w:hAnsi="Arial" w:cs="Times New Roman"/>
      <w:b/>
      <w:bCs/>
      <w:color w:val="263F6A"/>
      <w:sz w:val="20"/>
      <w:szCs w:val="20"/>
      <w:lang w:eastAsia="fr-FR"/>
    </w:rPr>
  </w:style>
  <w:style w:type="character" w:styleId="-0">
    <w:name w:val="FollowedHyperlink"/>
    <w:basedOn w:val="a1"/>
    <w:uiPriority w:val="99"/>
    <w:semiHidden/>
    <w:unhideWhenUsed/>
    <w:rsid w:val="00740472"/>
    <w:rPr>
      <w:color w:val="954F72" w:themeColor="followedHyperlink"/>
      <w:u w:val="single"/>
    </w:rPr>
  </w:style>
  <w:style w:type="character" w:customStyle="1" w:styleId="CorpsTexteI10BTCar">
    <w:name w:val="Corps Texte I1.0 BT Car"/>
    <w:link w:val="CorpsTexteI10BT"/>
    <w:rsid w:val="00B30257"/>
    <w:rPr>
      <w:rFonts w:ascii="Arial" w:eastAsia="Calibri" w:hAnsi="Arial" w:cs="Arial"/>
      <w:color w:val="263F6A"/>
    </w:rPr>
  </w:style>
  <w:style w:type="paragraph" w:styleId="ac">
    <w:name w:val="TOC Heading"/>
    <w:basedOn w:val="1"/>
    <w:next w:val="a0"/>
    <w:uiPriority w:val="39"/>
    <w:unhideWhenUsed/>
    <w:qFormat/>
    <w:rsid w:val="000B6CC5"/>
    <w:pPr>
      <w:keepLines/>
      <w:numPr>
        <w:numId w:val="0"/>
      </w:numPr>
      <w:tabs>
        <w:tab w:val="clear" w:pos="567"/>
        <w:tab w:val="clear" w:pos="1134"/>
        <w:tab w:val="clear" w:pos="1701"/>
        <w:tab w:val="clear" w:pos="2268"/>
        <w:tab w:val="clear" w:pos="2835"/>
        <w:tab w:val="clear" w:pos="3402"/>
      </w:tabs>
      <w:suppressAutoHyphens w:val="0"/>
      <w:spacing w:before="240" w:after="0" w:line="259" w:lineRule="auto"/>
      <w:outlineLvl w:val="9"/>
    </w:pPr>
    <w:rPr>
      <w:rFonts w:asciiTheme="majorHAnsi" w:eastAsiaTheme="majorEastAsia" w:hAnsiTheme="majorHAnsi" w:cstheme="majorBidi"/>
      <w:b w:val="0"/>
      <w:bCs w:val="0"/>
      <w:caps w:val="0"/>
      <w:color w:val="2E74B5" w:themeColor="accent1" w:themeShade="BF"/>
      <w:spacing w:val="0"/>
      <w:kern w:val="0"/>
      <w:sz w:val="32"/>
      <w:lang w:eastAsia="fr-FR"/>
    </w:rPr>
  </w:style>
  <w:style w:type="paragraph" w:styleId="ad">
    <w:name w:val="footnote text"/>
    <w:basedOn w:val="a0"/>
    <w:link w:val="Char4"/>
    <w:uiPriority w:val="99"/>
    <w:semiHidden/>
    <w:unhideWhenUsed/>
    <w:rsid w:val="00054481"/>
    <w:pPr>
      <w:spacing w:after="0"/>
    </w:pPr>
    <w:rPr>
      <w:sz w:val="20"/>
      <w:szCs w:val="20"/>
    </w:rPr>
  </w:style>
  <w:style w:type="character" w:customStyle="1" w:styleId="Char4">
    <w:name w:val="Κείμενο υποσημείωσης Char"/>
    <w:basedOn w:val="a1"/>
    <w:link w:val="ad"/>
    <w:uiPriority w:val="99"/>
    <w:semiHidden/>
    <w:rsid w:val="00054481"/>
    <w:rPr>
      <w:rFonts w:ascii="Arial" w:hAnsi="Arial" w:cs="Times New Roman"/>
      <w:color w:val="263F6A"/>
      <w:sz w:val="20"/>
      <w:szCs w:val="20"/>
      <w:lang w:eastAsia="fr-FR"/>
    </w:rPr>
  </w:style>
  <w:style w:type="character" w:styleId="ae">
    <w:name w:val="footnote reference"/>
    <w:basedOn w:val="a1"/>
    <w:uiPriority w:val="99"/>
    <w:semiHidden/>
    <w:unhideWhenUsed/>
    <w:rsid w:val="00054481"/>
    <w:rPr>
      <w:vertAlign w:val="superscript"/>
    </w:rPr>
  </w:style>
  <w:style w:type="table" w:customStyle="1" w:styleId="Grilledutableau1">
    <w:name w:val="Grille du tableau1"/>
    <w:basedOn w:val="a2"/>
    <w:next w:val="a5"/>
    <w:rsid w:val="007E4532"/>
    <w:pPr>
      <w:spacing w:after="0" w:line="240" w:lineRule="auto"/>
      <w:jc w:val="center"/>
    </w:pPr>
    <w:rPr>
      <w:rFonts w:ascii="Arial" w:hAnsi="Arial" w:cs="Times New Roman"/>
      <w:color w:val="263F6A"/>
      <w:szCs w:val="20"/>
      <w:lang w:eastAsia="fr-FR"/>
    </w:rPr>
    <w:tblPr>
      <w:jc w:val="center"/>
      <w:tblBorders>
        <w:top w:val="single" w:sz="4" w:space="0" w:color="263F6A"/>
        <w:left w:val="single" w:sz="4" w:space="0" w:color="263F6A"/>
        <w:bottom w:val="single" w:sz="4" w:space="0" w:color="263F6A"/>
        <w:right w:val="single" w:sz="4" w:space="0" w:color="263F6A"/>
        <w:insideH w:val="single" w:sz="4" w:space="0" w:color="263F6A"/>
        <w:insideV w:val="single" w:sz="4" w:space="0" w:color="263F6A"/>
      </w:tblBorders>
    </w:tblPr>
    <w:trPr>
      <w:jc w:val="center"/>
    </w:trPr>
    <w:tcPr>
      <w:shd w:val="clear" w:color="auto" w:fill="auto"/>
      <w:vAlign w:val="center"/>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styleId="af">
    <w:name w:val="No Spacing"/>
    <w:uiPriority w:val="1"/>
    <w:qFormat/>
    <w:rsid w:val="00533402"/>
    <w:pPr>
      <w:suppressAutoHyphens/>
      <w:spacing w:after="0" w:line="240" w:lineRule="auto"/>
      <w:jc w:val="both"/>
    </w:pPr>
    <w:rPr>
      <w:rFonts w:ascii="Arial" w:hAnsi="Arial" w:cs="Times New Roman"/>
      <w:color w:val="263F6A"/>
      <w:szCs w:val="24"/>
      <w:lang w:eastAsia="fr-FR"/>
    </w:rPr>
  </w:style>
  <w:style w:type="paragraph" w:styleId="af0">
    <w:name w:val="List Paragraph"/>
    <w:basedOn w:val="a0"/>
    <w:uiPriority w:val="34"/>
    <w:qFormat/>
    <w:rsid w:val="00533402"/>
    <w:pPr>
      <w:ind w:left="720"/>
      <w:contextualSpacing/>
    </w:pPr>
  </w:style>
  <w:style w:type="character" w:customStyle="1" w:styleId="Mentionnonrsolue1">
    <w:name w:val="Mention non résolue1"/>
    <w:basedOn w:val="a1"/>
    <w:uiPriority w:val="99"/>
    <w:semiHidden/>
    <w:unhideWhenUsed/>
    <w:rsid w:val="00533402"/>
    <w:rPr>
      <w:color w:val="605E5C"/>
      <w:shd w:val="clear" w:color="auto" w:fill="E1DFDD"/>
    </w:rPr>
  </w:style>
  <w:style w:type="character" w:customStyle="1" w:styleId="Mentionnonrsolue2">
    <w:name w:val="Mention non résolue2"/>
    <w:basedOn w:val="a1"/>
    <w:uiPriority w:val="99"/>
    <w:semiHidden/>
    <w:unhideWhenUsed/>
    <w:rsid w:val="00A70398"/>
    <w:rPr>
      <w:color w:val="605E5C"/>
      <w:shd w:val="clear" w:color="auto" w:fill="E1DFDD"/>
    </w:rPr>
  </w:style>
  <w:style w:type="character" w:customStyle="1" w:styleId="txtexp">
    <w:name w:val="txtexp"/>
    <w:basedOn w:val="a1"/>
    <w:rsid w:val="00725962"/>
  </w:style>
  <w:style w:type="character" w:customStyle="1" w:styleId="txtexpbold">
    <w:name w:val="txtexpbold"/>
    <w:basedOn w:val="a1"/>
    <w:rsid w:val="00725962"/>
  </w:style>
  <w:style w:type="character" w:customStyle="1" w:styleId="qw-refdoc">
    <w:name w:val="qw-refdoc"/>
    <w:basedOn w:val="a1"/>
    <w:rsid w:val="00725962"/>
  </w:style>
  <w:style w:type="character" w:customStyle="1" w:styleId="txt">
    <w:name w:val="txt"/>
    <w:basedOn w:val="a1"/>
    <w:rsid w:val="00725962"/>
  </w:style>
  <w:style w:type="character" w:customStyle="1" w:styleId="txtbold">
    <w:name w:val="txtbold"/>
    <w:basedOn w:val="a1"/>
    <w:rsid w:val="00725962"/>
  </w:style>
  <w:style w:type="paragraph" w:customStyle="1" w:styleId="Default">
    <w:name w:val="Default"/>
    <w:uiPriority w:val="99"/>
    <w:rsid w:val="006E042E"/>
    <w:pPr>
      <w:autoSpaceDE w:val="0"/>
      <w:autoSpaceDN w:val="0"/>
      <w:adjustRightInd w:val="0"/>
      <w:spacing w:after="0" w:line="240" w:lineRule="auto"/>
    </w:pPr>
    <w:rPr>
      <w:rFonts w:ascii="Times New Roman" w:hAnsi="Times New Roman" w:cs="Times New Roman"/>
      <w:color w:val="000000"/>
      <w:sz w:val="24"/>
      <w:szCs w:val="24"/>
      <w:lang w:eastAsia="fr-FR"/>
    </w:rPr>
  </w:style>
  <w:style w:type="character" w:customStyle="1" w:styleId="Mentionnonrsolue3">
    <w:name w:val="Mention non résolue3"/>
    <w:basedOn w:val="a1"/>
    <w:uiPriority w:val="99"/>
    <w:semiHidden/>
    <w:unhideWhenUsed/>
    <w:rsid w:val="003E59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374167">
      <w:bodyDiv w:val="1"/>
      <w:marLeft w:val="0"/>
      <w:marRight w:val="0"/>
      <w:marTop w:val="0"/>
      <w:marBottom w:val="0"/>
      <w:divBdr>
        <w:top w:val="none" w:sz="0" w:space="0" w:color="auto"/>
        <w:left w:val="none" w:sz="0" w:space="0" w:color="auto"/>
        <w:bottom w:val="none" w:sz="0" w:space="0" w:color="auto"/>
        <w:right w:val="none" w:sz="0" w:space="0" w:color="auto"/>
      </w:divBdr>
    </w:div>
    <w:div w:id="1231690135">
      <w:bodyDiv w:val="1"/>
      <w:marLeft w:val="0"/>
      <w:marRight w:val="0"/>
      <w:marTop w:val="0"/>
      <w:marBottom w:val="0"/>
      <w:divBdr>
        <w:top w:val="none" w:sz="0" w:space="0" w:color="auto"/>
        <w:left w:val="none" w:sz="0" w:space="0" w:color="auto"/>
        <w:bottom w:val="none" w:sz="0" w:space="0" w:color="auto"/>
        <w:right w:val="none" w:sz="0" w:space="0" w:color="auto"/>
      </w:divBdr>
      <w:divsChild>
        <w:div w:id="1193691422">
          <w:marLeft w:val="1483"/>
          <w:marRight w:val="0"/>
          <w:marTop w:val="120"/>
          <w:marBottom w:val="0"/>
          <w:divBdr>
            <w:top w:val="none" w:sz="0" w:space="0" w:color="auto"/>
            <w:left w:val="none" w:sz="0" w:space="0" w:color="auto"/>
            <w:bottom w:val="none" w:sz="0" w:space="0" w:color="auto"/>
            <w:right w:val="none" w:sz="0" w:space="0" w:color="auto"/>
          </w:divBdr>
        </w:div>
        <w:div w:id="1733194959">
          <w:marLeft w:val="1483"/>
          <w:marRight w:val="0"/>
          <w:marTop w:val="120"/>
          <w:marBottom w:val="0"/>
          <w:divBdr>
            <w:top w:val="none" w:sz="0" w:space="0" w:color="auto"/>
            <w:left w:val="none" w:sz="0" w:space="0" w:color="auto"/>
            <w:bottom w:val="none" w:sz="0" w:space="0" w:color="auto"/>
            <w:right w:val="none" w:sz="0" w:space="0" w:color="auto"/>
          </w:divBdr>
        </w:div>
      </w:divsChild>
    </w:div>
    <w:div w:id="1376344560">
      <w:bodyDiv w:val="1"/>
      <w:marLeft w:val="0"/>
      <w:marRight w:val="0"/>
      <w:marTop w:val="0"/>
      <w:marBottom w:val="0"/>
      <w:divBdr>
        <w:top w:val="none" w:sz="0" w:space="0" w:color="auto"/>
        <w:left w:val="none" w:sz="0" w:space="0" w:color="auto"/>
        <w:bottom w:val="none" w:sz="0" w:space="0" w:color="auto"/>
        <w:right w:val="none" w:sz="0" w:space="0" w:color="auto"/>
      </w:divBdr>
    </w:div>
    <w:div w:id="1395658814">
      <w:bodyDiv w:val="1"/>
      <w:marLeft w:val="0"/>
      <w:marRight w:val="0"/>
      <w:marTop w:val="0"/>
      <w:marBottom w:val="0"/>
      <w:divBdr>
        <w:top w:val="none" w:sz="0" w:space="0" w:color="auto"/>
        <w:left w:val="none" w:sz="0" w:space="0" w:color="auto"/>
        <w:bottom w:val="none" w:sz="0" w:space="0" w:color="auto"/>
        <w:right w:val="none" w:sz="0" w:space="0" w:color="auto"/>
      </w:divBdr>
      <w:divsChild>
        <w:div w:id="1019232426">
          <w:marLeft w:val="1166"/>
          <w:marRight w:val="0"/>
          <w:marTop w:val="120"/>
          <w:marBottom w:val="0"/>
          <w:divBdr>
            <w:top w:val="none" w:sz="0" w:space="0" w:color="auto"/>
            <w:left w:val="none" w:sz="0" w:space="0" w:color="auto"/>
            <w:bottom w:val="none" w:sz="0" w:space="0" w:color="auto"/>
            <w:right w:val="none" w:sz="0" w:space="0" w:color="auto"/>
          </w:divBdr>
        </w:div>
      </w:divsChild>
    </w:div>
    <w:div w:id="1437554162">
      <w:bodyDiv w:val="1"/>
      <w:marLeft w:val="0"/>
      <w:marRight w:val="0"/>
      <w:marTop w:val="0"/>
      <w:marBottom w:val="0"/>
      <w:divBdr>
        <w:top w:val="none" w:sz="0" w:space="0" w:color="auto"/>
        <w:left w:val="none" w:sz="0" w:space="0" w:color="auto"/>
        <w:bottom w:val="none" w:sz="0" w:space="0" w:color="auto"/>
        <w:right w:val="none" w:sz="0" w:space="0" w:color="auto"/>
      </w:divBdr>
      <w:divsChild>
        <w:div w:id="256525976">
          <w:marLeft w:val="1166"/>
          <w:marRight w:val="0"/>
          <w:marTop w:val="120"/>
          <w:marBottom w:val="0"/>
          <w:divBdr>
            <w:top w:val="none" w:sz="0" w:space="0" w:color="auto"/>
            <w:left w:val="none" w:sz="0" w:space="0" w:color="auto"/>
            <w:bottom w:val="none" w:sz="0" w:space="0" w:color="auto"/>
            <w:right w:val="none" w:sz="0" w:space="0" w:color="auto"/>
          </w:divBdr>
        </w:div>
      </w:divsChild>
    </w:div>
    <w:div w:id="1504469655">
      <w:bodyDiv w:val="1"/>
      <w:marLeft w:val="0"/>
      <w:marRight w:val="0"/>
      <w:marTop w:val="0"/>
      <w:marBottom w:val="0"/>
      <w:divBdr>
        <w:top w:val="none" w:sz="0" w:space="0" w:color="auto"/>
        <w:left w:val="none" w:sz="0" w:space="0" w:color="auto"/>
        <w:bottom w:val="none" w:sz="0" w:space="0" w:color="auto"/>
        <w:right w:val="none" w:sz="0" w:space="0" w:color="auto"/>
      </w:divBdr>
      <w:divsChild>
        <w:div w:id="1878658611">
          <w:marLeft w:val="1166"/>
          <w:marRight w:val="0"/>
          <w:marTop w:val="120"/>
          <w:marBottom w:val="0"/>
          <w:divBdr>
            <w:top w:val="none" w:sz="0" w:space="0" w:color="auto"/>
            <w:left w:val="none" w:sz="0" w:space="0" w:color="auto"/>
            <w:bottom w:val="none" w:sz="0" w:space="0" w:color="auto"/>
            <w:right w:val="none" w:sz="0" w:space="0" w:color="auto"/>
          </w:divBdr>
        </w:div>
      </w:divsChild>
    </w:div>
    <w:div w:id="1896743399">
      <w:bodyDiv w:val="1"/>
      <w:marLeft w:val="0"/>
      <w:marRight w:val="0"/>
      <w:marTop w:val="0"/>
      <w:marBottom w:val="0"/>
      <w:divBdr>
        <w:top w:val="none" w:sz="0" w:space="0" w:color="auto"/>
        <w:left w:val="none" w:sz="0" w:space="0" w:color="auto"/>
        <w:bottom w:val="none" w:sz="0" w:space="0" w:color="auto"/>
        <w:right w:val="none" w:sz="0" w:space="0" w:color="auto"/>
      </w:divBdr>
      <w:divsChild>
        <w:div w:id="189148028">
          <w:marLeft w:val="1166"/>
          <w:marRight w:val="0"/>
          <w:marTop w:val="120"/>
          <w:marBottom w:val="0"/>
          <w:divBdr>
            <w:top w:val="none" w:sz="0" w:space="0" w:color="auto"/>
            <w:left w:val="none" w:sz="0" w:space="0" w:color="auto"/>
            <w:bottom w:val="none" w:sz="0" w:space="0" w:color="auto"/>
            <w:right w:val="none" w:sz="0" w:space="0" w:color="auto"/>
          </w:divBdr>
        </w:div>
        <w:div w:id="138695887">
          <w:marLeft w:val="1166"/>
          <w:marRight w:val="0"/>
          <w:marTop w:val="120"/>
          <w:marBottom w:val="0"/>
          <w:divBdr>
            <w:top w:val="none" w:sz="0" w:space="0" w:color="auto"/>
            <w:left w:val="none" w:sz="0" w:space="0" w:color="auto"/>
            <w:bottom w:val="none" w:sz="0" w:space="0" w:color="auto"/>
            <w:right w:val="none" w:sz="0" w:space="0" w:color="auto"/>
          </w:divBdr>
        </w:div>
        <w:div w:id="1867938217">
          <w:marLeft w:val="1166"/>
          <w:marRight w:val="0"/>
          <w:marTop w:val="120"/>
          <w:marBottom w:val="0"/>
          <w:divBdr>
            <w:top w:val="none" w:sz="0" w:space="0" w:color="auto"/>
            <w:left w:val="none" w:sz="0" w:space="0" w:color="auto"/>
            <w:bottom w:val="none" w:sz="0" w:space="0" w:color="auto"/>
            <w:right w:val="none" w:sz="0" w:space="0" w:color="auto"/>
          </w:divBdr>
        </w:div>
        <w:div w:id="287976114">
          <w:marLeft w:val="1483"/>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yperlink" Target="mailto:OPNC@syntec.fr"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bertin.fr/"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spcnimgroup/sites/bertin/binside/QSE/SMQSE-Rules/BT/Politique-RH.pdf" TargetMode="External"/><Relationship Id="rId3" Type="http://schemas.openxmlformats.org/officeDocument/2006/relationships/hyperlink" Target="https://spcnimgroup/sites/bertin/binside/QSE/SMQSE-Rules/BT/G%C3%A9rer-Cas-Urgence-Situations-Dangereuses.pdf" TargetMode="External"/><Relationship Id="rId7" Type="http://schemas.openxmlformats.org/officeDocument/2006/relationships/hyperlink" Target="https://spcnimgroup/sites/bertin/binside/QSE/SMQSE-Rules/BT/Int%C3%A9grer-collaborateur.pdf" TargetMode="External"/><Relationship Id="rId2" Type="http://schemas.openxmlformats.org/officeDocument/2006/relationships/hyperlink" Target="https://code.travail.gouv.fr/code-du-travail/l2242-17" TargetMode="External"/><Relationship Id="rId1" Type="http://schemas.openxmlformats.org/officeDocument/2006/relationships/hyperlink" Target="https://www.legifrance.gouv.fr/loda/id/JORFTEXT000031046061/" TargetMode="External"/><Relationship Id="rId6" Type="http://schemas.openxmlformats.org/officeDocument/2006/relationships/hyperlink" Target="https://www.legifrance.gouv.fr/loda/id/JORFTEXT000037367660" TargetMode="External"/><Relationship Id="rId5" Type="http://schemas.openxmlformats.org/officeDocument/2006/relationships/hyperlink" Target="https://spcnimgroup/sites/bertin/binside/QSE/SMQSE-Rules/BT/G%C3%A9rer-Comp%C3%A9tences.pdf" TargetMode="External"/><Relationship Id="rId10" Type="http://schemas.openxmlformats.org/officeDocument/2006/relationships/hyperlink" Target="https://www.legifrance.gouv.fr/codes/article_lc/LEGIARTI000036920591/" TargetMode="External"/><Relationship Id="rId4" Type="http://schemas.openxmlformats.org/officeDocument/2006/relationships/hyperlink" Target="https://spcnimgroup/sites/bertin/binside/QSE/SMQSE-Rules/BT/Charte-T%C3%A9l%C3%A9travail.pdf" TargetMode="External"/><Relationship Id="rId9" Type="http://schemas.openxmlformats.org/officeDocument/2006/relationships/hyperlink" Target="https://www.legifrance.gouv.fr/codes/article_lc/LEGIARTI000006901675/2022-05-0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310EF5-BD5A-4E6B-860A-B2C24B935F4C}" type="doc">
      <dgm:prSet loTypeId="urn:microsoft.com/office/officeart/2005/8/layout/cycle3" loCatId="cycle" qsTypeId="urn:microsoft.com/office/officeart/2005/8/quickstyle/simple1" qsCatId="simple" csTypeId="urn:microsoft.com/office/officeart/2005/8/colors/accent0_2" csCatId="mainScheme" phldr="1"/>
      <dgm:spPr/>
      <dgm:t>
        <a:bodyPr/>
        <a:lstStyle/>
        <a:p>
          <a:endParaRPr lang="fr-FR"/>
        </a:p>
      </dgm:t>
    </dgm:pt>
    <dgm:pt modelId="{7D7F0087-02CE-4407-8B85-D0FA61D7D464}">
      <dgm:prSet phldrT="[Texte]"/>
      <dgm:spPr/>
      <dgm:t>
        <a:bodyPr/>
        <a:lstStyle/>
        <a:p>
          <a:pPr algn="ctr"/>
          <a:r>
            <a:rPr lang="fr-FR" dirty="0"/>
            <a:t>Recruter</a:t>
          </a:r>
        </a:p>
        <a:p>
          <a:pPr algn="ctr"/>
          <a:r>
            <a:rPr lang="fr-FR" dirty="0"/>
            <a:t>Intégrer</a:t>
          </a:r>
        </a:p>
      </dgm:t>
    </dgm:pt>
    <dgm:pt modelId="{3F0850D3-9B22-407B-ADB4-BD502868C182}" type="parTrans" cxnId="{E3AFDF9E-1479-450E-B55B-E51554AD0A37}">
      <dgm:prSet/>
      <dgm:spPr/>
      <dgm:t>
        <a:bodyPr/>
        <a:lstStyle/>
        <a:p>
          <a:pPr algn="ctr"/>
          <a:endParaRPr lang="fr-FR"/>
        </a:p>
      </dgm:t>
    </dgm:pt>
    <dgm:pt modelId="{B147166D-4A2B-41D3-ABDD-4209F4A6D25D}" type="sibTrans" cxnId="{E3AFDF9E-1479-450E-B55B-E51554AD0A37}">
      <dgm:prSet/>
      <dgm:spPr/>
      <dgm:t>
        <a:bodyPr/>
        <a:lstStyle/>
        <a:p>
          <a:pPr algn="ctr"/>
          <a:endParaRPr lang="fr-FR"/>
        </a:p>
      </dgm:t>
    </dgm:pt>
    <dgm:pt modelId="{0829A741-B33A-40F6-B53C-96C4A96A1640}">
      <dgm:prSet phldrT="[Texte]"/>
      <dgm:spPr/>
      <dgm:t>
        <a:bodyPr/>
        <a:lstStyle/>
        <a:p>
          <a:pPr algn="ctr"/>
          <a:r>
            <a:rPr lang="fr-FR" dirty="0"/>
            <a:t>Evaluer</a:t>
          </a:r>
        </a:p>
      </dgm:t>
    </dgm:pt>
    <dgm:pt modelId="{81CDCC5C-6765-486A-A52A-E1AF7733594F}" type="parTrans" cxnId="{2505AE1A-C0FE-4E60-8063-688B35BB442A}">
      <dgm:prSet/>
      <dgm:spPr/>
      <dgm:t>
        <a:bodyPr/>
        <a:lstStyle/>
        <a:p>
          <a:pPr algn="ctr"/>
          <a:endParaRPr lang="fr-FR"/>
        </a:p>
      </dgm:t>
    </dgm:pt>
    <dgm:pt modelId="{5C277796-8A27-40EB-A6CD-BCF66EE7523C}" type="sibTrans" cxnId="{2505AE1A-C0FE-4E60-8063-688B35BB442A}">
      <dgm:prSet/>
      <dgm:spPr/>
      <dgm:t>
        <a:bodyPr/>
        <a:lstStyle/>
        <a:p>
          <a:pPr algn="ctr"/>
          <a:endParaRPr lang="fr-FR"/>
        </a:p>
      </dgm:t>
    </dgm:pt>
    <dgm:pt modelId="{F990C995-2150-4890-8A28-9EA0ADB1AE11}">
      <dgm:prSet phldrT="[Texte]"/>
      <dgm:spPr/>
      <dgm:t>
        <a:bodyPr/>
        <a:lstStyle/>
        <a:p>
          <a:pPr algn="ctr"/>
          <a:r>
            <a:rPr lang="fr-FR" dirty="0"/>
            <a:t>Former &amp; développer</a:t>
          </a:r>
        </a:p>
      </dgm:t>
    </dgm:pt>
    <dgm:pt modelId="{B5FAD554-BAE2-4E12-A748-EBB3F422F3A8}" type="parTrans" cxnId="{C5DD46B1-B893-43DF-AC09-B4E37CDBBA35}">
      <dgm:prSet/>
      <dgm:spPr/>
      <dgm:t>
        <a:bodyPr/>
        <a:lstStyle/>
        <a:p>
          <a:pPr algn="ctr"/>
          <a:endParaRPr lang="fr-FR"/>
        </a:p>
      </dgm:t>
    </dgm:pt>
    <dgm:pt modelId="{A326E40D-9E57-45FA-9DA1-F8E1E37AB092}" type="sibTrans" cxnId="{C5DD46B1-B893-43DF-AC09-B4E37CDBBA35}">
      <dgm:prSet/>
      <dgm:spPr/>
      <dgm:t>
        <a:bodyPr/>
        <a:lstStyle/>
        <a:p>
          <a:pPr algn="ctr"/>
          <a:endParaRPr lang="fr-FR"/>
        </a:p>
      </dgm:t>
    </dgm:pt>
    <dgm:pt modelId="{D4BD82EE-0D5A-46BE-9CB3-EEDCDA961D42}">
      <dgm:prSet phldrT="[Texte]"/>
      <dgm:spPr/>
      <dgm:t>
        <a:bodyPr/>
        <a:lstStyle/>
        <a:p>
          <a:pPr algn="ctr"/>
          <a:r>
            <a:rPr lang="fr-FR" dirty="0"/>
            <a:t>Evoluer</a:t>
          </a:r>
        </a:p>
      </dgm:t>
    </dgm:pt>
    <dgm:pt modelId="{15143439-E4D0-4BEA-A848-79794CAB5187}" type="parTrans" cxnId="{A8BF6381-C3A2-4A97-9D00-CA2510F5A7EB}">
      <dgm:prSet/>
      <dgm:spPr/>
      <dgm:t>
        <a:bodyPr/>
        <a:lstStyle/>
        <a:p>
          <a:pPr algn="ctr"/>
          <a:endParaRPr lang="fr-FR"/>
        </a:p>
      </dgm:t>
    </dgm:pt>
    <dgm:pt modelId="{9223F694-1303-4C3B-B281-C2F6500C80FF}" type="sibTrans" cxnId="{A8BF6381-C3A2-4A97-9D00-CA2510F5A7EB}">
      <dgm:prSet/>
      <dgm:spPr/>
      <dgm:t>
        <a:bodyPr/>
        <a:lstStyle/>
        <a:p>
          <a:pPr algn="ctr"/>
          <a:endParaRPr lang="fr-FR"/>
        </a:p>
      </dgm:t>
    </dgm:pt>
    <dgm:pt modelId="{F30D101B-0650-4329-A983-B0B2E7387494}" type="pres">
      <dgm:prSet presAssocID="{CD310EF5-BD5A-4E6B-860A-B2C24B935F4C}" presName="Name0" presStyleCnt="0">
        <dgm:presLayoutVars>
          <dgm:dir/>
          <dgm:resizeHandles val="exact"/>
        </dgm:presLayoutVars>
      </dgm:prSet>
      <dgm:spPr/>
    </dgm:pt>
    <dgm:pt modelId="{B8A6F1A8-235D-428C-A118-981805E71313}" type="pres">
      <dgm:prSet presAssocID="{CD310EF5-BD5A-4E6B-860A-B2C24B935F4C}" presName="cycle" presStyleCnt="0"/>
      <dgm:spPr/>
    </dgm:pt>
    <dgm:pt modelId="{06D34AC1-D24C-4247-9E75-0F421B940BDC}" type="pres">
      <dgm:prSet presAssocID="{7D7F0087-02CE-4407-8B85-D0FA61D7D464}" presName="nodeFirstNode" presStyleLbl="node1" presStyleIdx="0" presStyleCnt="4">
        <dgm:presLayoutVars>
          <dgm:bulletEnabled val="1"/>
        </dgm:presLayoutVars>
      </dgm:prSet>
      <dgm:spPr/>
    </dgm:pt>
    <dgm:pt modelId="{46A0E62D-6CF3-4FFF-93C7-19454DCEBEAE}" type="pres">
      <dgm:prSet presAssocID="{B147166D-4A2B-41D3-ABDD-4209F4A6D25D}" presName="sibTransFirstNode" presStyleLbl="bgShp" presStyleIdx="0" presStyleCnt="1"/>
      <dgm:spPr/>
    </dgm:pt>
    <dgm:pt modelId="{27A3C3A9-FCD9-42F7-97A1-9414BE7CC99B}" type="pres">
      <dgm:prSet presAssocID="{0829A741-B33A-40F6-B53C-96C4A96A1640}" presName="nodeFollowingNodes" presStyleLbl="node1" presStyleIdx="1" presStyleCnt="4">
        <dgm:presLayoutVars>
          <dgm:bulletEnabled val="1"/>
        </dgm:presLayoutVars>
      </dgm:prSet>
      <dgm:spPr/>
    </dgm:pt>
    <dgm:pt modelId="{BE0B8B95-D6CF-46BE-880A-0263B50BC6F4}" type="pres">
      <dgm:prSet presAssocID="{F990C995-2150-4890-8A28-9EA0ADB1AE11}" presName="nodeFollowingNodes" presStyleLbl="node1" presStyleIdx="2" presStyleCnt="4">
        <dgm:presLayoutVars>
          <dgm:bulletEnabled val="1"/>
        </dgm:presLayoutVars>
      </dgm:prSet>
      <dgm:spPr/>
    </dgm:pt>
    <dgm:pt modelId="{EF62BF0F-04EA-497E-A0F8-00BFCBAC6C9E}" type="pres">
      <dgm:prSet presAssocID="{D4BD82EE-0D5A-46BE-9CB3-EEDCDA961D42}" presName="nodeFollowingNodes" presStyleLbl="node1" presStyleIdx="3" presStyleCnt="4">
        <dgm:presLayoutVars>
          <dgm:bulletEnabled val="1"/>
        </dgm:presLayoutVars>
      </dgm:prSet>
      <dgm:spPr/>
    </dgm:pt>
  </dgm:ptLst>
  <dgm:cxnLst>
    <dgm:cxn modelId="{8FBC4809-6E61-4D0E-A64D-7FAC96306524}" type="presOf" srcId="{D4BD82EE-0D5A-46BE-9CB3-EEDCDA961D42}" destId="{EF62BF0F-04EA-497E-A0F8-00BFCBAC6C9E}" srcOrd="0" destOrd="0" presId="urn:microsoft.com/office/officeart/2005/8/layout/cycle3"/>
    <dgm:cxn modelId="{2505AE1A-C0FE-4E60-8063-688B35BB442A}" srcId="{CD310EF5-BD5A-4E6B-860A-B2C24B935F4C}" destId="{0829A741-B33A-40F6-B53C-96C4A96A1640}" srcOrd="1" destOrd="0" parTransId="{81CDCC5C-6765-486A-A52A-E1AF7733594F}" sibTransId="{5C277796-8A27-40EB-A6CD-BCF66EE7523C}"/>
    <dgm:cxn modelId="{346A4458-792D-4117-BCC6-0CEB7BB86345}" type="presOf" srcId="{F990C995-2150-4890-8A28-9EA0ADB1AE11}" destId="{BE0B8B95-D6CF-46BE-880A-0263B50BC6F4}" srcOrd="0" destOrd="0" presId="urn:microsoft.com/office/officeart/2005/8/layout/cycle3"/>
    <dgm:cxn modelId="{2F02037D-1B71-4552-8249-8083B80E78E3}" type="presOf" srcId="{B147166D-4A2B-41D3-ABDD-4209F4A6D25D}" destId="{46A0E62D-6CF3-4FFF-93C7-19454DCEBEAE}" srcOrd="0" destOrd="0" presId="urn:microsoft.com/office/officeart/2005/8/layout/cycle3"/>
    <dgm:cxn modelId="{4322317D-6A44-4682-AF66-324AD24AB011}" type="presOf" srcId="{7D7F0087-02CE-4407-8B85-D0FA61D7D464}" destId="{06D34AC1-D24C-4247-9E75-0F421B940BDC}" srcOrd="0" destOrd="0" presId="urn:microsoft.com/office/officeart/2005/8/layout/cycle3"/>
    <dgm:cxn modelId="{A8BF6381-C3A2-4A97-9D00-CA2510F5A7EB}" srcId="{CD310EF5-BD5A-4E6B-860A-B2C24B935F4C}" destId="{D4BD82EE-0D5A-46BE-9CB3-EEDCDA961D42}" srcOrd="3" destOrd="0" parTransId="{15143439-E4D0-4BEA-A848-79794CAB5187}" sibTransId="{9223F694-1303-4C3B-B281-C2F6500C80FF}"/>
    <dgm:cxn modelId="{5F1B2999-DE86-49D2-98AA-BE53B56D803C}" type="presOf" srcId="{0829A741-B33A-40F6-B53C-96C4A96A1640}" destId="{27A3C3A9-FCD9-42F7-97A1-9414BE7CC99B}" srcOrd="0" destOrd="0" presId="urn:microsoft.com/office/officeart/2005/8/layout/cycle3"/>
    <dgm:cxn modelId="{19063F9D-2845-4AB5-8C63-198F9BF7C76E}" type="presOf" srcId="{CD310EF5-BD5A-4E6B-860A-B2C24B935F4C}" destId="{F30D101B-0650-4329-A983-B0B2E7387494}" srcOrd="0" destOrd="0" presId="urn:microsoft.com/office/officeart/2005/8/layout/cycle3"/>
    <dgm:cxn modelId="{E3AFDF9E-1479-450E-B55B-E51554AD0A37}" srcId="{CD310EF5-BD5A-4E6B-860A-B2C24B935F4C}" destId="{7D7F0087-02CE-4407-8B85-D0FA61D7D464}" srcOrd="0" destOrd="0" parTransId="{3F0850D3-9B22-407B-ADB4-BD502868C182}" sibTransId="{B147166D-4A2B-41D3-ABDD-4209F4A6D25D}"/>
    <dgm:cxn modelId="{C5DD46B1-B893-43DF-AC09-B4E37CDBBA35}" srcId="{CD310EF5-BD5A-4E6B-860A-B2C24B935F4C}" destId="{F990C995-2150-4890-8A28-9EA0ADB1AE11}" srcOrd="2" destOrd="0" parTransId="{B5FAD554-BAE2-4E12-A748-EBB3F422F3A8}" sibTransId="{A326E40D-9E57-45FA-9DA1-F8E1E37AB092}"/>
    <dgm:cxn modelId="{273B4056-8956-4E32-B28B-81D5739419A9}" type="presParOf" srcId="{F30D101B-0650-4329-A983-B0B2E7387494}" destId="{B8A6F1A8-235D-428C-A118-981805E71313}" srcOrd="0" destOrd="0" presId="urn:microsoft.com/office/officeart/2005/8/layout/cycle3"/>
    <dgm:cxn modelId="{9A2D0C22-7438-4154-BEC0-CBC30702F762}" type="presParOf" srcId="{B8A6F1A8-235D-428C-A118-981805E71313}" destId="{06D34AC1-D24C-4247-9E75-0F421B940BDC}" srcOrd="0" destOrd="0" presId="urn:microsoft.com/office/officeart/2005/8/layout/cycle3"/>
    <dgm:cxn modelId="{DF9EF093-0571-4384-A900-D877A95D44C4}" type="presParOf" srcId="{B8A6F1A8-235D-428C-A118-981805E71313}" destId="{46A0E62D-6CF3-4FFF-93C7-19454DCEBEAE}" srcOrd="1" destOrd="0" presId="urn:microsoft.com/office/officeart/2005/8/layout/cycle3"/>
    <dgm:cxn modelId="{C05F4771-5CA2-4E87-AE30-8A602EAAD3F4}" type="presParOf" srcId="{B8A6F1A8-235D-428C-A118-981805E71313}" destId="{27A3C3A9-FCD9-42F7-97A1-9414BE7CC99B}" srcOrd="2" destOrd="0" presId="urn:microsoft.com/office/officeart/2005/8/layout/cycle3"/>
    <dgm:cxn modelId="{7B53EF57-61F1-48B1-AA0E-7F034D44F15A}" type="presParOf" srcId="{B8A6F1A8-235D-428C-A118-981805E71313}" destId="{BE0B8B95-D6CF-46BE-880A-0263B50BC6F4}" srcOrd="3" destOrd="0" presId="urn:microsoft.com/office/officeart/2005/8/layout/cycle3"/>
    <dgm:cxn modelId="{B3A23393-79F4-4094-A226-0D8F0468A2B2}" type="presParOf" srcId="{B8A6F1A8-235D-428C-A118-981805E71313}" destId="{EF62BF0F-04EA-497E-A0F8-00BFCBAC6C9E}" srcOrd="4" destOrd="0" presId="urn:microsoft.com/office/officeart/2005/8/layout/cycle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6A0E62D-6CF3-4FFF-93C7-19454DCEBEAE}">
      <dsp:nvSpPr>
        <dsp:cNvPr id="0" name=""/>
        <dsp:cNvSpPr/>
      </dsp:nvSpPr>
      <dsp:spPr>
        <a:xfrm>
          <a:off x="262978" y="49697"/>
          <a:ext cx="1963064" cy="1963064"/>
        </a:xfrm>
        <a:prstGeom prst="circularArrow">
          <a:avLst>
            <a:gd name="adj1" fmla="val 4668"/>
            <a:gd name="adj2" fmla="val 272909"/>
            <a:gd name="adj3" fmla="val 13476544"/>
            <a:gd name="adj4" fmla="val 17607374"/>
            <a:gd name="adj5" fmla="val 4847"/>
          </a:avLst>
        </a:prstGeom>
        <a:solidFill>
          <a:schemeClr val="dk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06D34AC1-D24C-4247-9E75-0F421B940BDC}">
      <dsp:nvSpPr>
        <dsp:cNvPr id="0" name=""/>
        <dsp:cNvSpPr/>
      </dsp:nvSpPr>
      <dsp:spPr>
        <a:xfrm>
          <a:off x="705506" y="55851"/>
          <a:ext cx="1078009" cy="539004"/>
        </a:xfrm>
        <a:prstGeom prst="round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fr-FR" sz="1100" kern="1200" dirty="0"/>
            <a:t>Recruter</a:t>
          </a:r>
        </a:p>
        <a:p>
          <a:pPr marL="0" lvl="0" indent="0" algn="ctr" defTabSz="488950">
            <a:lnSpc>
              <a:spcPct val="90000"/>
            </a:lnSpc>
            <a:spcBef>
              <a:spcPct val="0"/>
            </a:spcBef>
            <a:spcAft>
              <a:spcPct val="35000"/>
            </a:spcAft>
            <a:buNone/>
          </a:pPr>
          <a:r>
            <a:rPr lang="fr-FR" sz="1100" kern="1200" dirty="0"/>
            <a:t>Intégrer</a:t>
          </a:r>
        </a:p>
      </dsp:txBody>
      <dsp:txXfrm>
        <a:off x="731818" y="82163"/>
        <a:ext cx="1025385" cy="486380"/>
      </dsp:txXfrm>
    </dsp:sp>
    <dsp:sp modelId="{27A3C3A9-FCD9-42F7-97A1-9414BE7CC99B}">
      <dsp:nvSpPr>
        <dsp:cNvPr id="0" name=""/>
        <dsp:cNvSpPr/>
      </dsp:nvSpPr>
      <dsp:spPr>
        <a:xfrm>
          <a:off x="1410377" y="760721"/>
          <a:ext cx="1078009" cy="539004"/>
        </a:xfrm>
        <a:prstGeom prst="round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fr-FR" sz="1100" kern="1200" dirty="0"/>
            <a:t>Evaluer</a:t>
          </a:r>
        </a:p>
      </dsp:txBody>
      <dsp:txXfrm>
        <a:off x="1436689" y="787033"/>
        <a:ext cx="1025385" cy="486380"/>
      </dsp:txXfrm>
    </dsp:sp>
    <dsp:sp modelId="{BE0B8B95-D6CF-46BE-880A-0263B50BC6F4}">
      <dsp:nvSpPr>
        <dsp:cNvPr id="0" name=""/>
        <dsp:cNvSpPr/>
      </dsp:nvSpPr>
      <dsp:spPr>
        <a:xfrm>
          <a:off x="705506" y="1465592"/>
          <a:ext cx="1078009" cy="539004"/>
        </a:xfrm>
        <a:prstGeom prst="round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fr-FR" sz="1100" kern="1200" dirty="0"/>
            <a:t>Former &amp; développer</a:t>
          </a:r>
        </a:p>
      </dsp:txBody>
      <dsp:txXfrm>
        <a:off x="731818" y="1491904"/>
        <a:ext cx="1025385" cy="486380"/>
      </dsp:txXfrm>
    </dsp:sp>
    <dsp:sp modelId="{EF62BF0F-04EA-497E-A0F8-00BFCBAC6C9E}">
      <dsp:nvSpPr>
        <dsp:cNvPr id="0" name=""/>
        <dsp:cNvSpPr/>
      </dsp:nvSpPr>
      <dsp:spPr>
        <a:xfrm>
          <a:off x="635" y="760721"/>
          <a:ext cx="1078009" cy="539004"/>
        </a:xfrm>
        <a:prstGeom prst="round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fr-FR" sz="1100" kern="1200" dirty="0"/>
            <a:t>Evoluer</a:t>
          </a:r>
        </a:p>
      </dsp:txBody>
      <dsp:txXfrm>
        <a:off x="26947" y="787033"/>
        <a:ext cx="1025385" cy="486380"/>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_x0020_Doc xmlns="1fedec67-b923-40d9-a22f-974d63b7945f">2022/12/15</Date_x0020_Doc>
    <Site_x0020_concern_x00e9_ xmlns="1fedec67-b923-40d9-a22f-974d63b7945f">
      <Value>AIX</Value>
      <Value>DIE</Value>
      <Value>FON</Value>
      <Value>MTY</Value>
      <Value>TG</Value>
    </Site_x0020_concern_x00e9_>
    <Type_x0020_de_x0020_Doc xmlns="1fedec67-b923-40d9-a22f-974d63b7945f">Accord Entreprise</Type_x0020_de_x0020_Doc>
    <Soci_x00e9_t_x00e9_ xmlns="1fedec67-b923-40d9-a22f-974d63b7945f">BT</Soci_x00e9_t_x00e9_>
    <IconOverlay xmlns="http://schemas.microsoft.com/sharepoint/v4" xsi:nil="true"/>
    <Docs_x0020_Cit_x00e9_s_Mentioned_x0020_Docs xmlns="1fedec67-b923-40d9-a22f-974d63b7945f">BT.A031 BT.P010 BT.P026 BT.P039 BT.NS137</Docs_x0020_Cit_x00e9_s_Mentioned_x0020_Docs>
    <Indice xmlns="1fedec67-b923-40d9-a22f-974d63b7945f">01fr</Indice>
    <M_x00e9_tiers_x0020_Concern_x00e9_s xmlns="1fedec67-b923-40d9-a22f-974d63b7945f">
      <Value>-</Value>
    </M_x00e9_tiers_x0020_Concern_x00e9_s>
    <P_x00e9_rim_x00e8_tre_x0020_QSE xmlns="1fedec67-b923-40d9-a22f-974d63b7945f">QSE</P_x00e9_rim_x00e8_tre_x0020_QSE>
    <Processus xmlns="1fedec67-b923-40d9-a22f-974d63b7945f">RH</Processus>
    <Langue xmlns="1fedec67-b923-40d9-a22f-974d63b7945f">Français</Langue>
    <R_x00e9_fDoc xmlns="1fedec67-b923-40d9-a22f-974d63b7945f">BT.A041</R_x00e9_fDoc>
    <DateRevue_x0020__x0028_AAAA_x002d_MM_x002d_JJ_x0029_ xmlns="1fedec67-b923-40d9-a22f-974d63b7945f">2022/12/15</DateRevue_x0020__x0028_AAAA_x002d_MM_x002d_JJ_x0029_>
    <Soci_x00e9_t_x00e9__x0020_concern_x00e9_e xmlns="1fedec67-b923-40d9-a22f-974d63b7945f">
      <Value>BT</Value>
    </Soci_x00e9_t_x00e9__x0020_concern_x00e9_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1E0125DF7580D43B897FBF919870B41" ma:contentTypeVersion="87" ma:contentTypeDescription="Crée un document." ma:contentTypeScope="" ma:versionID="3f48cd24e3077ec552b1d1aa46b7c099">
  <xsd:schema xmlns:xsd="http://www.w3.org/2001/XMLSchema" xmlns:xs="http://www.w3.org/2001/XMLSchema" xmlns:p="http://schemas.microsoft.com/office/2006/metadata/properties" xmlns:ns2="1fedec67-b923-40d9-a22f-974d63b7945f" xmlns:ns4="http://schemas.microsoft.com/sharepoint/v4" targetNamespace="http://schemas.microsoft.com/office/2006/metadata/properties" ma:root="true" ma:fieldsID="caae5621a583a3fd431e460ea4cc58bf" ns2:_="" ns4:_="">
    <xsd:import namespace="1fedec67-b923-40d9-a22f-974d63b7945f"/>
    <xsd:import namespace="http://schemas.microsoft.com/sharepoint/v4"/>
    <xsd:element name="properties">
      <xsd:complexType>
        <xsd:sequence>
          <xsd:element name="documentManagement">
            <xsd:complexType>
              <xsd:all>
                <xsd:element ref="ns2:R_x00e9_fDoc"/>
                <xsd:element ref="ns2:Indice"/>
                <xsd:element ref="ns2:Date_x0020_Doc"/>
                <xsd:element ref="ns2:Type_x0020_de_x0020_Doc"/>
                <xsd:element ref="ns2:Processus"/>
                <xsd:element ref="ns2:Langue"/>
                <xsd:element ref="ns2:Soci_x00e9_t_x00e9__x0020_concern_x00e9_e" minOccurs="0"/>
                <xsd:element ref="ns2:Site_x0020_concern_x00e9_" minOccurs="0"/>
                <xsd:element ref="ns2:M_x00e9_tiers_x0020_Concern_x00e9_s" minOccurs="0"/>
                <xsd:element ref="ns2:DateRevue_x0020__x0028_AAAA_x002d_MM_x002d_JJ_x0029_"/>
                <xsd:element ref="ns2:Soci_x00e9_t_x00e9_"/>
                <xsd:element ref="ns2:P_x00e9_rim_x00e8_tre_x0020_QSE"/>
                <xsd:element ref="ns4:IconOverlay" minOccurs="0"/>
                <xsd:element ref="ns2:Docs_x0020_Cit_x00e9_s_Mentioned_x0020_Doc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dec67-b923-40d9-a22f-974d63b7945f" elementFormDefault="qualified">
    <xsd:import namespace="http://schemas.microsoft.com/office/2006/documentManagement/types"/>
    <xsd:import namespace="http://schemas.microsoft.com/office/infopath/2007/PartnerControls"/>
    <xsd:element name="R_x00e9_fDoc" ma:index="1" ma:displayName="RefDoc" ma:description="Référence du document (sans l'indice)&#10;Doc Reference (without Revision index)" ma:internalName="R_x00e9_fDoc" ma:readOnly="false">
      <xsd:simpleType>
        <xsd:restriction base="dms:Text">
          <xsd:maxLength value="50"/>
        </xsd:restriction>
      </xsd:simpleType>
    </xsd:element>
    <xsd:element name="Indice" ma:index="2" ma:displayName="Ind._Rev." ma:description="Indice du document&#10;Document Révision" ma:internalName="Indice" ma:readOnly="false">
      <xsd:simpleType>
        <xsd:restriction base="dms:Text">
          <xsd:maxLength value="10"/>
        </xsd:restriction>
      </xsd:simpleType>
    </xsd:element>
    <xsd:element name="Date_x0020_Doc" ma:index="3" ma:displayName="DocDate (yyyy/mm/dd)" ma:description="Date du Document&#10;Date of the document" ma:internalName="Date_x0020_Doc" ma:readOnly="false">
      <xsd:simpleType>
        <xsd:restriction base="dms:Text">
          <xsd:maxLength value="10"/>
        </xsd:restriction>
      </xsd:simpleType>
    </xsd:element>
    <xsd:element name="Type_x0020_de_x0020_Doc" ma:index="4" ma:displayName="DocType" ma:default="-" ma:description="Type de document (Manuel, Modèle, Formulaire, Note de Service, Organigramme, Procédure, Procédure Métier, Recommandation)" ma:format="Dropdown" ma:internalName="Type_x0020_de_x0020_Doc" ma:readOnly="false">
      <xsd:simpleType>
        <xsd:restriction base="dms:Choice">
          <xsd:enumeration value="-"/>
          <xsd:enumeration value="Accord Entreprise"/>
          <xsd:enumeration value="Manuel"/>
          <xsd:enumeration value="Modèle &amp; Formulaire"/>
          <xsd:enumeration value="Note de Service"/>
          <xsd:enumeration value="Organigramme"/>
          <xsd:enumeration value="Procédure"/>
          <xsd:enumeration value="Procédure Métier"/>
          <xsd:enumeration value="Recommandation"/>
          <xsd:enumeration value="Sensibilisation"/>
          <xsd:enumeration value="Utilisateur"/>
        </xsd:restriction>
      </xsd:simpleType>
    </xsd:element>
    <xsd:element name="Processus" ma:index="5" ma:displayName="Processus_Process" ma:description="Processus QSE concerné&#10;QSE Process involved" ma:format="Dropdown" ma:internalName="Processus" ma:readOnly="false">
      <xsd:simpleType>
        <xsd:restriction base="dms:Choice">
          <xsd:enumeration value="Mgt-E-CR"/>
          <xsd:enumeration value="Commerce"/>
          <xsd:enumeration value="Opérations"/>
          <xsd:enumeration value="RH"/>
        </xsd:restriction>
      </xsd:simpleType>
    </xsd:element>
    <xsd:element name="Langue" ma:index="6" ma:displayName="Langue_Language" ma:default="Français" ma:description="Document Language&#10;Langue du document" ma:format="Dropdown" ma:internalName="Langue" ma:readOnly="false">
      <xsd:simpleType>
        <xsd:restriction base="dms:Choice">
          <xsd:enumeration value="Deutsch"/>
          <xsd:enumeration value="English"/>
          <xsd:enumeration value="Français"/>
          <xsd:enumeration value="Italiano"/>
          <xsd:enumeration value="Svenska"/>
          <xsd:enumeration value="Other"/>
        </xsd:restriction>
      </xsd:simpleType>
    </xsd:element>
    <xsd:element name="Soci_x00e9_t_x00e9__x0020_concern_x00e9_e" ma:index="7" nillable="true" ma:displayName="Société_Company" ma:default="BT" ma:description="Société concernée&#10;Company concerned" ma:internalName="Soci_x00e9_t_x00e9__x0020_concern_x00e9_e" ma:readOnly="false" ma:requiredMultiChoice="true">
      <xsd:complexType>
        <xsd:complexContent>
          <xsd:extension base="dms:MultiChoice">
            <xsd:sequence>
              <xsd:element name="Value" maxOccurs="unbounded" minOccurs="0" nillable="true">
                <xsd:simpleType>
                  <xsd:restriction base="dms:Choice">
                    <xsd:enumeration value="BC"/>
                    <xsd:enumeration value="BEs"/>
                    <xsd:enumeration value="BEe"/>
                    <xsd:enumeration value="BG"/>
                    <xsd:enumeration value="BI"/>
                    <xsd:enumeration value="BT"/>
                    <xsd:enumeration value="BW"/>
                    <xsd:enumeration value="EE"/>
                    <xsd:enumeration value="ES"/>
                    <xsd:enumeration value="WS"/>
                  </xsd:restriction>
                </xsd:simpleType>
              </xsd:element>
            </xsd:sequence>
          </xsd:extension>
        </xsd:complexContent>
      </xsd:complexType>
    </xsd:element>
    <xsd:element name="Site_x0020_concern_x00e9_" ma:index="8" nillable="true" ma:displayName="Site" ma:description="Site Concerned&#10;Site concerné" ma:internalName="Site_x0020_concern_x00e9_" ma:readOnly="false" ma:requiredMultiChoice="true">
      <xsd:complexType>
        <xsd:complexContent>
          <xsd:extension base="dms:MultiChoice">
            <xsd:sequence>
              <xsd:element name="Value" maxOccurs="unbounded" minOccurs="0" nillable="true">
                <xsd:simpleType>
                  <xsd:restriction base="dms:Choice">
                    <xsd:enumeration value="AIX"/>
                    <xsd:enumeration value="BAS"/>
                    <xsd:enumeration value="DIE"/>
                    <xsd:enumeration value="FON"/>
                    <xsd:enumeration value="FRA"/>
                    <xsd:enumeration value="GEN"/>
                    <xsd:enumeration value="KAL"/>
                    <xsd:enumeration value="LUN"/>
                    <xsd:enumeration value="MTY"/>
                    <xsd:enumeration value="PER"/>
                    <xsd:enumeration value="ROC"/>
                    <xsd:enumeration value="TG"/>
                  </xsd:restriction>
                </xsd:simpleType>
              </xsd:element>
            </xsd:sequence>
          </xsd:extension>
        </xsd:complexContent>
      </xsd:complexType>
    </xsd:element>
    <xsd:element name="M_x00e9_tiers_x0020_Concern_x00e9_s" ma:index="9" nillable="true" ma:displayName="Métier concerné" ma:default="-" ma:description="Métiers concernés par le doc" ma:internalName="M_x00e9_tiers_x0020_Concern_x00e9_s" ma:readOnly="false" ma:requiredMultiChoice="true">
      <xsd:complexType>
        <xsd:complexContent>
          <xsd:extension base="dms:MultiChoice">
            <xsd:sequence>
              <xsd:element name="Value" maxOccurs="unbounded" minOccurs="0" nillable="true">
                <xsd:simpleType>
                  <xsd:restriction base="dms:Choice">
                    <xsd:enumeration value="Achat"/>
                    <xsd:enumeration value="Electronique"/>
                    <xsd:enumeration value="Juridique"/>
                    <xsd:enumeration value="Mécanique"/>
                    <xsd:enumeration value="Optomécanique"/>
                    <xsd:enumeration value="-"/>
                    <xsd:enumeration value="Electronics"/>
                    <xsd:enumeration value="Legal"/>
                    <xsd:enumeration value="Mechanics"/>
                    <xsd:enumeration value="Optomechanics"/>
                    <xsd:enumeration value="Purchase"/>
                    <xsd:maxLength value="255"/>
                  </xsd:restriction>
                </xsd:simpleType>
              </xsd:element>
            </xsd:sequence>
          </xsd:extension>
        </xsd:complexContent>
      </xsd:complexType>
    </xsd:element>
    <xsd:element name="DateRevue_x0020__x0028_AAAA_x002d_MM_x002d_JJ_x0029_" ma:index="13" ma:displayName="LastReview (yyyy/mm/dd)" ma:description="Date de la dernière revue de ce doc&#10;Last review date of the document" ma:internalName="DateRevue_x0020__x0028_AAAA_x002d_MM_x002d_JJ_x0029_" ma:readOnly="false">
      <xsd:simpleType>
        <xsd:restriction base="dms:Text">
          <xsd:maxLength value="10"/>
        </xsd:restriction>
      </xsd:simpleType>
    </xsd:element>
    <xsd:element name="Soci_x00e9_t_x00e9_" ma:index="14" ma:displayName="Origine_Origin" ma:default="BT" ma:description="Origine du doc&#10;Origin of the doc" ma:format="Dropdown" ma:internalName="Soci_x00e9_t_x00e9_" ma:readOnly="false">
      <xsd:simpleType>
        <xsd:restriction base="dms:Choice">
          <xsd:enumeration value="BC"/>
          <xsd:enumeration value="BEs"/>
          <xsd:enumeration value="BEe"/>
          <xsd:enumeration value="BG"/>
          <xsd:enumeration value="BI"/>
          <xsd:enumeration value="BT"/>
          <xsd:enumeration value="BW"/>
          <xsd:enumeration value="Autre"/>
          <xsd:enumeration value="ES"/>
          <xsd:enumeration value="EE"/>
          <xsd:enumeration value="CNIM"/>
          <xsd:enumeration value="WS"/>
        </xsd:restriction>
      </xsd:simpleType>
    </xsd:element>
    <xsd:element name="P_x00e9_rim_x00e8_tre_x0020_QSE" ma:index="16" ma:displayName="Périmètre QSE" ma:default="QSE" ma:description="Périmètre QSE Concerné" ma:format="Dropdown" ma:internalName="P_x00e9_rim_x00e8_tre_x0020_QSE" ma:readOnly="false">
      <xsd:simpleType>
        <xsd:restriction base="dms:Choice">
          <xsd:enumeration value="QSE"/>
          <xsd:enumeration value="SE"/>
          <xsd:enumeration value="Qualité"/>
          <xsd:enumeration value="Sécurité"/>
          <xsd:enumeration value="Env."/>
        </xsd:restriction>
      </xsd:simpleType>
    </xsd:element>
    <xsd:element name="Docs_x0020_Cit_x00e9_s_Mentioned_x0020_Docs" ma:index="24" nillable="true" ma:displayName="Docs Cités_Mentioned Docs" ma:description="Liste des références des docs cités par le présent document" ma:internalName="Docs_x0020_Cit_x00e9_s_Mentioned_x0020_Doc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5" ma:displayName="Auteur"/>
        <xsd:element ref="dcterms:created" minOccurs="0" maxOccurs="1"/>
        <xsd:element ref="dc:identifier" minOccurs="0" maxOccurs="1"/>
        <xsd:element name="contentType" minOccurs="0" maxOccurs="1" type="xsd:string" ma:index="21" ma:displayName="Type de contenu"/>
        <xsd:element ref="dc:title" minOccurs="0" maxOccurs="1" ma:index="10" ma:displayName="Complément"/>
        <xsd:element ref="dc:subject" minOccurs="0" maxOccurs="1" ma:index="11" ma:displayName="Objet_Subject"/>
        <xsd:element ref="dc:description" minOccurs="0" maxOccurs="1"/>
        <xsd:element name="keywords" minOccurs="0" maxOccurs="1" type="xsd:string" ma:index="12" ma:displayName="Mots clés_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45803-057E-4945-9E6F-87EC6F807BAD}">
  <ds:schemaRefs>
    <ds:schemaRef ds:uri="http://schemas.microsoft.com/office/2006/metadata/properties"/>
    <ds:schemaRef ds:uri="http://schemas.microsoft.com/office/infopath/2007/PartnerControls"/>
    <ds:schemaRef ds:uri="1fedec67-b923-40d9-a22f-974d63b7945f"/>
    <ds:schemaRef ds:uri="http://schemas.microsoft.com/sharepoint/v4"/>
  </ds:schemaRefs>
</ds:datastoreItem>
</file>

<file path=customXml/itemProps2.xml><?xml version="1.0" encoding="utf-8"?>
<ds:datastoreItem xmlns:ds="http://schemas.openxmlformats.org/officeDocument/2006/customXml" ds:itemID="{D3917E6F-74E3-4909-95A1-EBDC8F53F7FA}">
  <ds:schemaRefs>
    <ds:schemaRef ds:uri="http://schemas.microsoft.com/sharepoint/v3/contenttype/forms"/>
  </ds:schemaRefs>
</ds:datastoreItem>
</file>

<file path=customXml/itemProps3.xml><?xml version="1.0" encoding="utf-8"?>
<ds:datastoreItem xmlns:ds="http://schemas.openxmlformats.org/officeDocument/2006/customXml" ds:itemID="{52C638A4-BDC6-471B-8F8D-3077D84C1A6E}">
  <ds:schemaRefs>
    <ds:schemaRef ds:uri="http://schemas.openxmlformats.org/officeDocument/2006/bibliography"/>
  </ds:schemaRefs>
</ds:datastoreItem>
</file>

<file path=customXml/itemProps4.xml><?xml version="1.0" encoding="utf-8"?>
<ds:datastoreItem xmlns:ds="http://schemas.openxmlformats.org/officeDocument/2006/customXml" ds:itemID="{FF394F2B-E972-44A6-968D-05FD79032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edec67-b923-40d9-a22f-974d63b794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6545</Words>
  <Characters>35349</Characters>
  <Application>Microsoft Office Word</Application>
  <DocSecurity>0</DocSecurity>
  <Lines>294</Lines>
  <Paragraphs>83</Paragraphs>
  <ScaleCrop>false</ScaleCrop>
  <HeadingPairs>
    <vt:vector size="2" baseType="variant">
      <vt:variant>
        <vt:lpstr>Titre</vt:lpstr>
      </vt:variant>
      <vt:variant>
        <vt:i4>1</vt:i4>
      </vt:variant>
    </vt:vector>
  </HeadingPairs>
  <TitlesOfParts>
    <vt:vector size="1" baseType="lpstr">
      <vt:lpstr>AE QVCT</vt:lpstr>
    </vt:vector>
  </TitlesOfParts>
  <Company>BERTIN TECHNOLOGIES</Company>
  <LinksUpToDate>false</LinksUpToDate>
  <CharactersWithSpaces>41811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 QVCT</dc:title>
  <dc:subject>Accord Entreprise : QVCT (Qualité Vie Condition Travail )</dc:subject>
  <dc:creator>USER</dc:creator>
  <cp:keywords>QVCT Qualité Vie Condition Travail Accord Entreprise</cp:keywords>
  <cp:lastModifiedBy>USER</cp:lastModifiedBy>
  <cp:revision>2</cp:revision>
  <cp:lastPrinted>2022-12-13T10:14:00Z</cp:lastPrinted>
  <dcterms:created xsi:type="dcterms:W3CDTF">2026-04-09T13:37:00Z</dcterms:created>
  <dcterms:modified xsi:type="dcterms:W3CDTF">2026-04-09T13:37:00Z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0x01010001E0125DF7580D43B897FBF919870B41</vt:lpwstr>
  </property>
</Properties>
</file>