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18418F" w:rsidRDefault="00EA0B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18418F" w:rsidRDefault="0018418F">
      <w:pPr>
        <w:spacing w:after="160" w:line="264" w:lineRule="auto"/>
        <w:jc w:val="center"/>
        <w:rPr>
          <w:rFonts w:ascii="Solway" w:eastAsia="Solway" w:hAnsi="Solway" w:cs="Solway"/>
          <w:b/>
        </w:rPr>
      </w:pPr>
    </w:p>
    <w:p w:rsidR="0018418F" w:rsidRDefault="00EA0BAA">
      <w:pPr>
        <w:spacing w:after="160" w:line="264" w:lineRule="auto"/>
        <w:jc w:val="center"/>
        <w:rPr>
          <w:rFonts w:ascii="Solway" w:eastAsia="Solway" w:hAnsi="Solway" w:cs="Solway"/>
          <w:b/>
        </w:rPr>
      </w:pPr>
      <w:r>
        <w:rPr>
          <w:rFonts w:ascii="Solway" w:eastAsia="Solway" w:hAnsi="Solway" w:cs="Solway"/>
          <w:b/>
        </w:rPr>
        <w:t>ACCORD RELATIF A LA MISE EN PLACE D’UN CONGÉ MENSTRUEL</w:t>
      </w:r>
    </w:p>
    <w:p w:rsidR="0018418F" w:rsidRDefault="0018418F">
      <w:pPr>
        <w:spacing w:after="160" w:line="264" w:lineRule="auto"/>
        <w:jc w:val="center"/>
        <w:rPr>
          <w:rFonts w:ascii="Solway" w:eastAsia="Solway" w:hAnsi="Solway" w:cs="Solway"/>
          <w:b/>
        </w:rPr>
      </w:pP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ENTRE :</w:t>
      </w: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L’association        </w:t>
      </w:r>
      <w:r>
        <w:rPr>
          <w:rFonts w:ascii="Solway" w:eastAsia="Solway" w:hAnsi="Solway" w:cs="Solway"/>
        </w:rPr>
        <w:tab/>
      </w:r>
      <w:r>
        <w:rPr>
          <w:rFonts w:ascii="Solway" w:eastAsia="Solway" w:hAnsi="Solway" w:cs="Solway"/>
        </w:rPr>
        <w:tab/>
      </w:r>
      <w:r>
        <w:rPr>
          <w:rFonts w:ascii="Solway" w:eastAsia="Solway" w:hAnsi="Solway" w:cs="Solway"/>
        </w:rPr>
        <w:tab/>
        <w:t xml:space="preserve">        , représenté par             </w:t>
      </w:r>
      <w:r>
        <w:rPr>
          <w:rFonts w:ascii="Solway" w:eastAsia="Solway" w:hAnsi="Solway" w:cs="Solway"/>
        </w:rPr>
        <w:tab/>
      </w:r>
      <w:r>
        <w:rPr>
          <w:rFonts w:ascii="Solway" w:eastAsia="Solway" w:hAnsi="Solway" w:cs="Solway"/>
        </w:rPr>
        <w:tab/>
      </w:r>
      <w:r>
        <w:rPr>
          <w:rFonts w:ascii="Solway" w:eastAsia="Solway" w:hAnsi="Solway" w:cs="Solway"/>
        </w:rPr>
        <w:tab/>
      </w:r>
      <w:r>
        <w:rPr>
          <w:rFonts w:ascii="Solway" w:eastAsia="Solway" w:hAnsi="Solway" w:cs="Solway"/>
        </w:rPr>
        <w:tab/>
        <w:t>, agissant en qualité de co-présidents, et ayant tout pouvoir à l’effet des présentes,</w:t>
      </w:r>
    </w:p>
    <w:p w:rsidR="0018418F" w:rsidRDefault="00EA0BAA">
      <w:pPr>
        <w:spacing w:after="160" w:line="264" w:lineRule="auto"/>
        <w:jc w:val="right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 </w:t>
      </w:r>
      <w:r>
        <w:rPr>
          <w:rFonts w:ascii="Solway" w:eastAsia="Solway" w:hAnsi="Solway" w:cs="Solway"/>
        </w:rPr>
        <w:br/>
      </w:r>
      <w:proofErr w:type="gramStart"/>
      <w:r>
        <w:rPr>
          <w:rFonts w:ascii="Solway" w:eastAsia="Solway" w:hAnsi="Solway" w:cs="Solway"/>
        </w:rPr>
        <w:t>d'une</w:t>
      </w:r>
      <w:proofErr w:type="gramEnd"/>
      <w:r>
        <w:rPr>
          <w:rFonts w:ascii="Solway" w:eastAsia="Solway" w:hAnsi="Solway" w:cs="Solway"/>
        </w:rPr>
        <w:t xml:space="preserve"> part,</w:t>
      </w: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ET,</w:t>
      </w:r>
    </w:p>
    <w:p w:rsidR="0018418F" w:rsidRDefault="00EA0B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Solway" w:eastAsia="Solway" w:hAnsi="Solway" w:cs="Solway"/>
          <w:color w:val="000000"/>
        </w:rPr>
      </w:pPr>
      <w:r>
        <w:rPr>
          <w:rFonts w:ascii="Solway" w:eastAsia="Solway" w:hAnsi="Solway" w:cs="Solway"/>
        </w:rPr>
        <w:t xml:space="preserve">les salarié.es, apprenant.es et stagiaires de l’association </w:t>
      </w:r>
    </w:p>
    <w:p w:rsidR="0018418F" w:rsidRDefault="0018418F">
      <w:pPr>
        <w:spacing w:after="160" w:line="264" w:lineRule="auto"/>
        <w:ind w:left="360"/>
        <w:jc w:val="both"/>
        <w:rPr>
          <w:rFonts w:ascii="Solway" w:eastAsia="Solway" w:hAnsi="Solway" w:cs="Solway"/>
        </w:rPr>
      </w:pPr>
    </w:p>
    <w:p w:rsidR="0018418F" w:rsidRDefault="00EA0BAA">
      <w:pPr>
        <w:spacing w:after="160" w:line="264" w:lineRule="auto"/>
        <w:jc w:val="right"/>
        <w:rPr>
          <w:rFonts w:ascii="Solway" w:eastAsia="Solway" w:hAnsi="Solway" w:cs="Solway"/>
        </w:rPr>
      </w:pPr>
      <w:proofErr w:type="gramStart"/>
      <w:r>
        <w:rPr>
          <w:rFonts w:ascii="Solway" w:eastAsia="Solway" w:hAnsi="Solway" w:cs="Solway"/>
        </w:rPr>
        <w:t>d'autre</w:t>
      </w:r>
      <w:proofErr w:type="gramEnd"/>
      <w:r>
        <w:rPr>
          <w:rFonts w:ascii="Solway" w:eastAsia="Solway" w:hAnsi="Solway" w:cs="Solway"/>
        </w:rPr>
        <w:t xml:space="preserve"> part,</w:t>
      </w: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Il a été convenu ce qui suit :</w:t>
      </w: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  <w:b/>
        </w:rPr>
      </w:pPr>
      <w:r>
        <w:rPr>
          <w:rFonts w:ascii="Solway" w:eastAsia="Solway" w:hAnsi="Solway" w:cs="Solway"/>
          <w:b/>
        </w:rPr>
        <w:t xml:space="preserve">Préambule </w:t>
      </w:r>
    </w:p>
    <w:p w:rsidR="0018418F" w:rsidRDefault="00EA0BAA">
      <w:pPr>
        <w:spacing w:after="160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Le présent accord a pour objet d’améliorer la qualité de vie au travail des salariés de l’association </w:t>
      </w:r>
      <w:r>
        <w:rPr>
          <w:rFonts w:ascii="Solway" w:eastAsia="Solway" w:hAnsi="Solway" w:cs="Solway"/>
        </w:rPr>
        <w:tab/>
      </w:r>
      <w:r>
        <w:rPr>
          <w:rFonts w:ascii="Solway" w:eastAsia="Solway" w:hAnsi="Solway" w:cs="Solway"/>
        </w:rPr>
        <w:tab/>
      </w:r>
      <w:r>
        <w:rPr>
          <w:rFonts w:ascii="Solway" w:eastAsia="Solway" w:hAnsi="Solway" w:cs="Solway"/>
        </w:rPr>
        <w:t xml:space="preserve"> en octroyant un jour de congé menstruel par mois. </w:t>
      </w:r>
    </w:p>
    <w:p w:rsidR="0018418F" w:rsidRDefault="00EA0BAA">
      <w:pPr>
        <w:spacing w:after="160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L’association rappelle ainsi son attachement à la qualité de vie au travail et à l’égalité des chances entre les genres. </w:t>
      </w:r>
    </w:p>
    <w:p w:rsidR="0018418F" w:rsidRDefault="00EA0BAA">
      <w:pPr>
        <w:spacing w:after="160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Le présent accord définit les modalités de mise en place et d'application de ce jo</w:t>
      </w:r>
      <w:r>
        <w:rPr>
          <w:rFonts w:ascii="Solway" w:eastAsia="Solway" w:hAnsi="Solway" w:cs="Solway"/>
        </w:rPr>
        <w:t xml:space="preserve">ur de congé accordé </w:t>
      </w:r>
      <w:proofErr w:type="gramStart"/>
      <w:r>
        <w:rPr>
          <w:rFonts w:ascii="Solway" w:eastAsia="Solway" w:hAnsi="Solway" w:cs="Solway"/>
        </w:rPr>
        <w:t>aux</w:t>
      </w:r>
      <w:proofErr w:type="gramEnd"/>
      <w:r>
        <w:rPr>
          <w:rFonts w:ascii="Solway" w:eastAsia="Solway" w:hAnsi="Solway" w:cs="Solway"/>
        </w:rPr>
        <w:t xml:space="preserve"> membres de l’association </w:t>
      </w:r>
      <w:r>
        <w:rPr>
          <w:rFonts w:ascii="Solway" w:eastAsia="Solway" w:hAnsi="Solway" w:cs="Solway"/>
        </w:rPr>
        <w:tab/>
      </w:r>
      <w:r>
        <w:rPr>
          <w:rFonts w:ascii="Solway" w:eastAsia="Solway" w:hAnsi="Solway" w:cs="Solway"/>
        </w:rPr>
        <w:tab/>
        <w:t xml:space="preserve">.   </w:t>
      </w: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  <w:b/>
        </w:rPr>
      </w:pPr>
      <w:r>
        <w:rPr>
          <w:rFonts w:ascii="Solway" w:eastAsia="Solway" w:hAnsi="Solway" w:cs="Solway"/>
          <w:b/>
        </w:rPr>
        <w:t xml:space="preserve">ARTICLE 1 – Champ d’application </w:t>
      </w: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Cet accord s’applique à l’ensemble des </w:t>
      </w:r>
      <w:proofErr w:type="spellStart"/>
      <w:r>
        <w:rPr>
          <w:rFonts w:ascii="Solway" w:eastAsia="Solway" w:hAnsi="Solway" w:cs="Solway"/>
        </w:rPr>
        <w:t>personnel.le.s</w:t>
      </w:r>
      <w:proofErr w:type="spellEnd"/>
      <w:r>
        <w:rPr>
          <w:rFonts w:ascii="Solway" w:eastAsia="Solway" w:hAnsi="Solway" w:cs="Solway"/>
        </w:rPr>
        <w:t xml:space="preserve"> </w:t>
      </w:r>
      <w:proofErr w:type="spellStart"/>
      <w:r>
        <w:rPr>
          <w:rFonts w:ascii="Solway" w:eastAsia="Solway" w:hAnsi="Solway" w:cs="Solway"/>
        </w:rPr>
        <w:t>menstrué.e.s</w:t>
      </w:r>
      <w:proofErr w:type="spellEnd"/>
      <w:r>
        <w:rPr>
          <w:rFonts w:ascii="Solway" w:eastAsia="Solway" w:hAnsi="Solway" w:cs="Solway"/>
        </w:rPr>
        <w:t xml:space="preserve"> de l’association </w:t>
      </w:r>
      <w:r>
        <w:rPr>
          <w:rFonts w:ascii="Solway" w:eastAsia="Solway" w:hAnsi="Solway" w:cs="Solway"/>
        </w:rPr>
        <w:tab/>
        <w:t xml:space="preserve">, à savoir les </w:t>
      </w:r>
      <w:proofErr w:type="spellStart"/>
      <w:r>
        <w:rPr>
          <w:rFonts w:ascii="Solway" w:eastAsia="Solway" w:hAnsi="Solway" w:cs="Solway"/>
        </w:rPr>
        <w:t>salarié.e.s</w:t>
      </w:r>
      <w:proofErr w:type="spellEnd"/>
      <w:r>
        <w:rPr>
          <w:rFonts w:ascii="Solway" w:eastAsia="Solway" w:hAnsi="Solway" w:cs="Solway"/>
        </w:rPr>
        <w:t xml:space="preserve"> en CDI et CDD, les </w:t>
      </w:r>
      <w:proofErr w:type="spellStart"/>
      <w:r>
        <w:rPr>
          <w:rFonts w:ascii="Solway" w:eastAsia="Solway" w:hAnsi="Solway" w:cs="Solway"/>
        </w:rPr>
        <w:t>alternant.e.s</w:t>
      </w:r>
      <w:proofErr w:type="spellEnd"/>
      <w:r>
        <w:rPr>
          <w:rFonts w:ascii="Solway" w:eastAsia="Solway" w:hAnsi="Solway" w:cs="Solway"/>
        </w:rPr>
        <w:t xml:space="preserve"> et les stagiaires, sa</w:t>
      </w:r>
      <w:r>
        <w:rPr>
          <w:rFonts w:ascii="Solway" w:eastAsia="Solway" w:hAnsi="Solway" w:cs="Solway"/>
        </w:rPr>
        <w:t xml:space="preserve">ns condition d’ancienneté. </w:t>
      </w: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  <w:b/>
        </w:rPr>
      </w:pPr>
      <w:r>
        <w:rPr>
          <w:rFonts w:ascii="Solway" w:eastAsia="Solway" w:hAnsi="Solway" w:cs="Solway"/>
          <w:b/>
        </w:rPr>
        <w:t xml:space="preserve">ARTICLE 2 – Conditions d’octroi d’un jour de congé supplémentaire mensuel </w:t>
      </w:r>
    </w:p>
    <w:p w:rsidR="0018418F" w:rsidRDefault="00EA0BAA">
      <w:pPr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Les personnels définis ci-avant pourront bénéficier d’un jour de congé mensuel supplémentaire afin de leur permettre de faire face plus facilement aux</w:t>
      </w:r>
      <w:r>
        <w:rPr>
          <w:rFonts w:ascii="Solway" w:eastAsia="Solway" w:hAnsi="Solway" w:cs="Solway"/>
        </w:rPr>
        <w:t xml:space="preserve"> contraintes qu’ils/elles rencontrent durant les périodes de menstruation. </w:t>
      </w:r>
    </w:p>
    <w:p w:rsidR="0018418F" w:rsidRDefault="0018418F">
      <w:pPr>
        <w:jc w:val="both"/>
        <w:rPr>
          <w:rFonts w:ascii="Solway" w:eastAsia="Solway" w:hAnsi="Solway" w:cs="Solway"/>
        </w:rPr>
      </w:pPr>
    </w:p>
    <w:p w:rsidR="0018418F" w:rsidRDefault="00EA0BAA">
      <w:pPr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lastRenderedPageBreak/>
        <w:t xml:space="preserve">Il est expressément convenu que ce jour de congé supplémentaire est facultatif et qu’il devra être posé sur le temps de travail effectif. </w:t>
      </w:r>
    </w:p>
    <w:p w:rsidR="0018418F" w:rsidRDefault="00EA0BAA">
      <w:pPr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De plus, le congé menstruel est non cumu</w:t>
      </w:r>
      <w:r>
        <w:rPr>
          <w:rFonts w:ascii="Solway" w:eastAsia="Solway" w:hAnsi="Solway" w:cs="Solway"/>
        </w:rPr>
        <w:t>lable au-delà du mois et le report d’un mois à l’autre est impossible.</w:t>
      </w:r>
    </w:p>
    <w:p w:rsidR="0018418F" w:rsidRDefault="0018418F">
      <w:pPr>
        <w:jc w:val="both"/>
        <w:rPr>
          <w:rFonts w:ascii="Solway" w:eastAsia="Solway" w:hAnsi="Solway" w:cs="Solway"/>
        </w:rPr>
      </w:pPr>
    </w:p>
    <w:p w:rsidR="0018418F" w:rsidRDefault="0018418F">
      <w:pPr>
        <w:jc w:val="both"/>
        <w:rPr>
          <w:rFonts w:ascii="Solway" w:eastAsia="Solway" w:hAnsi="Solway" w:cs="Solway"/>
        </w:rPr>
      </w:pP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  <w:b/>
        </w:rPr>
      </w:pPr>
      <w:r>
        <w:rPr>
          <w:rFonts w:ascii="Solway" w:eastAsia="Solway" w:hAnsi="Solway" w:cs="Solway"/>
          <w:b/>
        </w:rPr>
        <w:t xml:space="preserve">ARTICLE 3 – Modalités de pose du congé menstruel  </w:t>
      </w:r>
    </w:p>
    <w:p w:rsidR="0018418F" w:rsidRDefault="00EA0BAA">
      <w:pPr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Les personnels pourront bénéficier de ce jour de congé, sur demande, le jour même. </w:t>
      </w:r>
    </w:p>
    <w:p w:rsidR="0018418F" w:rsidRDefault="0018418F">
      <w:pPr>
        <w:jc w:val="both"/>
        <w:rPr>
          <w:rFonts w:ascii="Solway" w:eastAsia="Solway" w:hAnsi="Solway" w:cs="Solway"/>
        </w:rPr>
      </w:pPr>
    </w:p>
    <w:p w:rsidR="0018418F" w:rsidRDefault="00EA0BAA">
      <w:pPr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Aucun délai de prévenance n’est imposé au regar</w:t>
      </w:r>
      <w:r>
        <w:rPr>
          <w:rFonts w:ascii="Solway" w:eastAsia="Solway" w:hAnsi="Solway" w:cs="Solway"/>
        </w:rPr>
        <w:t xml:space="preserve">d de la nature même du congé. </w:t>
      </w:r>
    </w:p>
    <w:p w:rsidR="0018418F" w:rsidRDefault="0018418F">
      <w:pPr>
        <w:jc w:val="both"/>
        <w:rPr>
          <w:rFonts w:ascii="Solway" w:eastAsia="Solway" w:hAnsi="Solway" w:cs="Solway"/>
        </w:rPr>
      </w:pPr>
    </w:p>
    <w:p w:rsidR="0018418F" w:rsidRDefault="00EA0BAA">
      <w:pPr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Afin de garantir la confidentialité dans la prise de ce congé, les personnels </w:t>
      </w:r>
      <w:proofErr w:type="gramStart"/>
      <w:r>
        <w:rPr>
          <w:rFonts w:ascii="Solway" w:eastAsia="Solway" w:hAnsi="Solway" w:cs="Solway"/>
        </w:rPr>
        <w:t>devront</w:t>
      </w:r>
      <w:proofErr w:type="gramEnd"/>
      <w:r>
        <w:rPr>
          <w:rFonts w:ascii="Solway" w:eastAsia="Solway" w:hAnsi="Solway" w:cs="Solway"/>
        </w:rPr>
        <w:t xml:space="preserve"> informer par mail le service des ressources humaines qui, naturellement, s’engage à prendre toutes précautions afin de protéger la confide</w:t>
      </w:r>
      <w:r>
        <w:rPr>
          <w:rFonts w:ascii="Solway" w:eastAsia="Solway" w:hAnsi="Solway" w:cs="Solway"/>
        </w:rPr>
        <w:t xml:space="preserve">ntialité des informations données. </w:t>
      </w:r>
    </w:p>
    <w:p w:rsidR="0018418F" w:rsidRDefault="0018418F">
      <w:pPr>
        <w:jc w:val="both"/>
        <w:rPr>
          <w:rFonts w:ascii="Solway" w:eastAsia="Solway" w:hAnsi="Solway" w:cs="Solway"/>
        </w:rPr>
      </w:pPr>
    </w:p>
    <w:p w:rsidR="0018418F" w:rsidRDefault="00EA0BAA">
      <w:pPr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En outre, le bénéfice de ce jour de congé n’est pas soumis à la délivrance d’un certificat médical.</w:t>
      </w:r>
    </w:p>
    <w:p w:rsidR="0018418F" w:rsidRDefault="0018418F">
      <w:pPr>
        <w:jc w:val="both"/>
        <w:rPr>
          <w:rFonts w:ascii="Solway" w:eastAsia="Solway" w:hAnsi="Solway" w:cs="Solway"/>
        </w:rPr>
      </w:pPr>
    </w:p>
    <w:p w:rsidR="0018418F" w:rsidRDefault="001841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lway" w:eastAsia="Solway" w:hAnsi="Solway" w:cs="Solway"/>
          <w:color w:val="000000"/>
        </w:rPr>
      </w:pP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  <w:b/>
        </w:rPr>
      </w:pPr>
      <w:r>
        <w:rPr>
          <w:rFonts w:ascii="Solway" w:eastAsia="Solway" w:hAnsi="Solway" w:cs="Solway"/>
          <w:b/>
        </w:rPr>
        <w:t>ARTICLE 5 – Maintien de la rémunération</w:t>
      </w:r>
    </w:p>
    <w:p w:rsidR="0018418F" w:rsidRDefault="00EA0BAA">
      <w:pPr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La rémunération sera maintenue durant les jours de congé menstruel. </w:t>
      </w:r>
    </w:p>
    <w:p w:rsidR="0018418F" w:rsidRDefault="0018418F">
      <w:pPr>
        <w:jc w:val="both"/>
        <w:rPr>
          <w:rFonts w:ascii="Solway" w:eastAsia="Solway" w:hAnsi="Solway" w:cs="Solway"/>
        </w:rPr>
      </w:pPr>
    </w:p>
    <w:p w:rsidR="0018418F" w:rsidRDefault="0018418F">
      <w:pPr>
        <w:jc w:val="both"/>
        <w:rPr>
          <w:rFonts w:ascii="Solway" w:eastAsia="Solway" w:hAnsi="Solway" w:cs="Solway"/>
        </w:rPr>
      </w:pPr>
      <w:bookmarkStart w:id="0" w:name="_GoBack"/>
      <w:bookmarkEnd w:id="0"/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  <w:b/>
        </w:rPr>
      </w:pPr>
      <w:r>
        <w:rPr>
          <w:rFonts w:ascii="Solway" w:eastAsia="Solway" w:hAnsi="Solway" w:cs="Solway"/>
          <w:b/>
        </w:rPr>
        <w:t>ARTICLE 6 – Alternative : Télétravail en période de menstruation</w:t>
      </w: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Les personnels qui souhaiteraient et/ou pourraient </w:t>
      </w:r>
      <w:proofErr w:type="spellStart"/>
      <w:r>
        <w:rPr>
          <w:rFonts w:ascii="Solway" w:eastAsia="Solway" w:hAnsi="Solway" w:cs="Solway"/>
        </w:rPr>
        <w:t>télétravailler</w:t>
      </w:r>
      <w:proofErr w:type="spellEnd"/>
      <w:r>
        <w:rPr>
          <w:rFonts w:ascii="Solway" w:eastAsia="Solway" w:hAnsi="Solway" w:cs="Solway"/>
        </w:rPr>
        <w:t xml:space="preserve"> durant les périodes de menstruation pourront également travailler à distance, une journée supplémentaire par mois, en sus des</w:t>
      </w:r>
      <w:r>
        <w:rPr>
          <w:rFonts w:ascii="Solway" w:eastAsia="Solway" w:hAnsi="Solway" w:cs="Solway"/>
        </w:rPr>
        <w:t xml:space="preserve"> dispositions générales déjà applicables sur le télétravail. </w:t>
      </w: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Cette disposition n’est pas cumulable avec le congé menstruel. </w:t>
      </w: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18418F">
      <w:pPr>
        <w:rPr>
          <w:rFonts w:ascii="Solway" w:eastAsia="Solway" w:hAnsi="Solway" w:cs="Solway"/>
        </w:rPr>
      </w:pPr>
    </w:p>
    <w:p w:rsidR="0018418F" w:rsidRDefault="00EA0BAA">
      <w:pPr>
        <w:pStyle w:val="Titre2"/>
        <w:spacing w:after="160" w:line="264" w:lineRule="auto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ARTICLE 7 – Durée, date d'effet de l’accord, suivi, dénonciation et révision</w:t>
      </w: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7.1 – Durée et date d’effet de l’accord</w:t>
      </w: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Le présent accord est conclu pour une durée indéterminée et entrera en vigueur à compter du 8 mars 2025.</w:t>
      </w: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7.2 – Dénonciation et révision</w:t>
      </w:r>
    </w:p>
    <w:p w:rsidR="0018418F" w:rsidRDefault="00EA0BAA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both"/>
        <w:rPr>
          <w:rFonts w:ascii="Solway" w:eastAsia="Solway" w:hAnsi="Solway" w:cs="Solway"/>
          <w:color w:val="000000"/>
        </w:rPr>
      </w:pPr>
      <w:r>
        <w:rPr>
          <w:rFonts w:ascii="Solway" w:eastAsia="Solway" w:hAnsi="Solway" w:cs="Solway"/>
          <w:color w:val="000000"/>
        </w:rPr>
        <w:t>Le présent accord pourra faire l’objet, à tout moment, d’une demande de révision en application des articles L.2261-7-1 et suivants du Code du Travail.</w:t>
      </w:r>
    </w:p>
    <w:p w:rsidR="0018418F" w:rsidRDefault="00EA0BAA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both"/>
        <w:rPr>
          <w:rFonts w:ascii="Solway" w:eastAsia="Solway" w:hAnsi="Solway" w:cs="Solway"/>
          <w:color w:val="000000"/>
        </w:rPr>
      </w:pPr>
      <w:r>
        <w:rPr>
          <w:rFonts w:ascii="Solway" w:eastAsia="Solway" w:hAnsi="Solway" w:cs="Solway"/>
          <w:color w:val="000000"/>
        </w:rPr>
        <w:t xml:space="preserve">Le cas échéant, la dénonciation du présent accord devra s’inscrire dans le respect des dispositions des </w:t>
      </w:r>
      <w:r>
        <w:rPr>
          <w:rFonts w:ascii="Solway" w:eastAsia="Solway" w:hAnsi="Solway" w:cs="Solway"/>
          <w:color w:val="000000"/>
        </w:rPr>
        <w:t xml:space="preserve">articles L. 2261-9 et suivants du Code du Travail. </w:t>
      </w:r>
    </w:p>
    <w:p w:rsidR="0018418F" w:rsidRDefault="0018418F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both"/>
        <w:rPr>
          <w:rFonts w:ascii="Solway" w:eastAsia="Solway" w:hAnsi="Solway" w:cs="Solway"/>
          <w:color w:val="000000"/>
        </w:rPr>
      </w:pPr>
    </w:p>
    <w:p w:rsidR="0018418F" w:rsidRDefault="00EA0BAA">
      <w:pPr>
        <w:pStyle w:val="Titre2"/>
        <w:spacing w:after="160" w:line="264" w:lineRule="auto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lastRenderedPageBreak/>
        <w:t>ARTICLE 8 – Publicité et dépôt</w:t>
      </w:r>
    </w:p>
    <w:p w:rsidR="0018418F" w:rsidRDefault="00EA0BAA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both"/>
        <w:rPr>
          <w:rFonts w:ascii="Solway" w:eastAsia="Solway" w:hAnsi="Solway" w:cs="Solway"/>
          <w:color w:val="000000"/>
        </w:rPr>
      </w:pPr>
      <w:r>
        <w:rPr>
          <w:rFonts w:ascii="Solway" w:eastAsia="Solway" w:hAnsi="Solway" w:cs="Solway"/>
        </w:rPr>
        <w:t>L</w:t>
      </w:r>
      <w:r>
        <w:rPr>
          <w:rFonts w:ascii="Solway" w:eastAsia="Solway" w:hAnsi="Solway" w:cs="Solway"/>
          <w:color w:val="000000"/>
        </w:rPr>
        <w:t>'association procèdera auprès de la DIRECCTE au dépôt dématérialisé de l’accord, par le biais de la plateforme en ligne « </w:t>
      </w:r>
      <w:hyperlink r:id="rId9">
        <w:r>
          <w:rPr>
            <w:rFonts w:ascii="Solway" w:eastAsia="Solway" w:hAnsi="Solway" w:cs="Solway"/>
            <w:color w:val="000000"/>
          </w:rPr>
          <w:t>www.teleaccords.travail-emploi.gouv.fr</w:t>
        </w:r>
      </w:hyperlink>
      <w:r>
        <w:rPr>
          <w:rFonts w:ascii="Solway" w:eastAsia="Solway" w:hAnsi="Solway" w:cs="Solway"/>
          <w:color w:val="000000"/>
        </w:rPr>
        <w:t xml:space="preserve"> ». </w:t>
      </w: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Le présent accord sera porté à la connaissance de l’ensemble des salariés concomitamment à la procédure de dépôt.</w:t>
      </w: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EA0BAA">
      <w:pPr>
        <w:spacing w:after="160" w:line="264" w:lineRule="auto"/>
        <w:jc w:val="both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>Signature et remise en main propre le 8 mars 2025 valant notification aux signata</w:t>
      </w:r>
      <w:r>
        <w:rPr>
          <w:rFonts w:ascii="Solway" w:eastAsia="Solway" w:hAnsi="Solway" w:cs="Solway"/>
        </w:rPr>
        <w:t xml:space="preserve">ires. </w:t>
      </w: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</w:rPr>
      </w:pPr>
    </w:p>
    <w:p w:rsidR="0018418F" w:rsidRDefault="00EA0BAA">
      <w:pPr>
        <w:spacing w:after="160" w:line="264" w:lineRule="auto"/>
        <w:jc w:val="right"/>
        <w:rPr>
          <w:rFonts w:ascii="Solway" w:eastAsia="Solway" w:hAnsi="Solway" w:cs="Solway"/>
        </w:rPr>
      </w:pPr>
      <w:r>
        <w:rPr>
          <w:rFonts w:ascii="Solway" w:eastAsia="Solway" w:hAnsi="Solway" w:cs="Solway"/>
        </w:rPr>
        <w:t xml:space="preserve">Fait à </w:t>
      </w:r>
      <w:r>
        <w:rPr>
          <w:rFonts w:ascii="Solway" w:eastAsia="Solway" w:hAnsi="Solway" w:cs="Solway"/>
        </w:rPr>
        <w:tab/>
      </w:r>
      <w:r>
        <w:rPr>
          <w:rFonts w:ascii="Solway" w:eastAsia="Solway" w:hAnsi="Solway" w:cs="Solway"/>
        </w:rPr>
        <w:tab/>
        <w:t>, le 17/02/2025</w:t>
      </w:r>
    </w:p>
    <w:p w:rsidR="0018418F" w:rsidRDefault="0018418F">
      <w:pPr>
        <w:spacing w:after="160" w:line="264" w:lineRule="auto"/>
        <w:jc w:val="right"/>
        <w:rPr>
          <w:rFonts w:ascii="Solway" w:eastAsia="Solway" w:hAnsi="Solway" w:cs="Solway"/>
        </w:rPr>
      </w:pPr>
    </w:p>
    <w:tbl>
      <w:tblPr>
        <w:tblStyle w:val="a"/>
        <w:tblW w:w="9632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573"/>
        <w:gridCol w:w="59"/>
      </w:tblGrid>
      <w:tr w:rsidR="0018418F">
        <w:tc>
          <w:tcPr>
            <w:tcW w:w="95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18F" w:rsidRDefault="0018418F">
            <w:pPr>
              <w:spacing w:after="160" w:line="264" w:lineRule="auto"/>
              <w:jc w:val="both"/>
              <w:rPr>
                <w:rFonts w:ascii="Solway" w:eastAsia="Solway" w:hAnsi="Solway" w:cs="Solway"/>
              </w:rPr>
            </w:pPr>
          </w:p>
          <w:p w:rsidR="0018418F" w:rsidRDefault="00EA0BAA">
            <w:pPr>
              <w:spacing w:after="160" w:line="264" w:lineRule="auto"/>
              <w:jc w:val="both"/>
              <w:rPr>
                <w:rFonts w:ascii="Solway" w:eastAsia="Solway" w:hAnsi="Solway" w:cs="Solway"/>
              </w:rPr>
            </w:pPr>
            <w:r>
              <w:rPr>
                <w:rFonts w:ascii="Solway" w:eastAsia="Solway" w:hAnsi="Solway" w:cs="Solway"/>
              </w:rPr>
              <w:t xml:space="preserve">Pour l’association, </w:t>
            </w:r>
          </w:p>
          <w:p w:rsidR="0018418F" w:rsidRDefault="0018418F">
            <w:pPr>
              <w:spacing w:after="160" w:line="264" w:lineRule="auto"/>
              <w:jc w:val="both"/>
              <w:rPr>
                <w:rFonts w:ascii="Solway" w:eastAsia="Solway" w:hAnsi="Solway" w:cs="Solway"/>
                <w:highlight w:val="cyan"/>
              </w:rPr>
            </w:pPr>
          </w:p>
          <w:p w:rsidR="0018418F" w:rsidRDefault="0018418F">
            <w:pPr>
              <w:spacing w:after="160" w:line="264" w:lineRule="auto"/>
              <w:jc w:val="both"/>
              <w:rPr>
                <w:rFonts w:ascii="Solway" w:eastAsia="Solway" w:hAnsi="Solway" w:cs="Solway"/>
              </w:rPr>
            </w:pPr>
          </w:p>
        </w:tc>
        <w:tc>
          <w:tcPr>
            <w:tcW w:w="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18F" w:rsidRDefault="00EA0BAA">
            <w:pPr>
              <w:spacing w:after="160" w:line="264" w:lineRule="auto"/>
              <w:jc w:val="both"/>
              <w:rPr>
                <w:rFonts w:ascii="Solway" w:eastAsia="Solway" w:hAnsi="Solway" w:cs="Solway"/>
              </w:rPr>
            </w:pPr>
            <w:r>
              <w:rPr>
                <w:rFonts w:ascii="Solway" w:eastAsia="Solway" w:hAnsi="Solway" w:cs="Solway"/>
              </w:rPr>
              <w:t xml:space="preserve"> </w:t>
            </w:r>
          </w:p>
        </w:tc>
      </w:tr>
    </w:tbl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  <w:sz w:val="22"/>
          <w:szCs w:val="22"/>
        </w:rPr>
      </w:pP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  <w:sz w:val="22"/>
          <w:szCs w:val="22"/>
        </w:rPr>
      </w:pPr>
    </w:p>
    <w:p w:rsidR="0018418F" w:rsidRDefault="0018418F">
      <w:pPr>
        <w:spacing w:after="160" w:line="264" w:lineRule="auto"/>
        <w:jc w:val="both"/>
        <w:rPr>
          <w:rFonts w:ascii="Solway" w:eastAsia="Solway" w:hAnsi="Solway" w:cs="Solway"/>
          <w:sz w:val="22"/>
          <w:szCs w:val="22"/>
        </w:rPr>
      </w:pPr>
    </w:p>
    <w:sectPr w:rsidR="00184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2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000000" w:rsidRDefault="00EA0BAA">
      <w:r>
        <w:separator/>
      </w:r>
    </w:p>
  </w:endnote>
  <w:endnote w:type="continuationSeparator" w:id="0">
    <w:p w:rsidR="00000000" w:rsidRDefault="00EA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olway">
    <w:altName w:val="Times New Roman"/>
    <w:charset w:val="00"/>
    <w:family w:val="auto"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8F" w:rsidRDefault="00EA0B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8418F" w:rsidRDefault="001841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8F" w:rsidRDefault="00EA0B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8418F" w:rsidRDefault="0018418F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ind w:right="-1000"/>
      <w:rPr>
        <w:rFonts w:ascii="Arial" w:eastAsia="Arial" w:hAnsi="Arial" w:cs="Arial"/>
        <w:color w:val="CD0037"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8F" w:rsidRDefault="00EA0B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18418F" w:rsidRDefault="0018418F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ind w:firstLine="284"/>
      <w:rPr>
        <w:rFonts w:ascii="Times" w:eastAsia="Times" w:hAnsi="Times" w:cs="Times"/>
        <w:b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000000" w:rsidRDefault="00EA0BAA">
      <w:r>
        <w:separator/>
      </w:r>
    </w:p>
  </w:footnote>
  <w:footnote w:type="continuationSeparator" w:id="0">
    <w:p w:rsidR="00000000" w:rsidRDefault="00EA0B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8F" w:rsidRDefault="00EA0B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1064" cy="6111064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12263" y="2702088"/>
                        <a:ext cx="6467475" cy="2155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18F" w:rsidRDefault="00EA0BA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808080"/>
                              <w:sz w:val="144"/>
                            </w:rPr>
                            <w:t>PROJET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sl="http://schemas.openxmlformats.org/schemaLibrary/2006/main" xmlns:pic="http://schemas.openxmlformats.org/drawingml/2006/picture" xmlns:lc="http://schemas.openxmlformats.org/drawingml/2006/lockedCanvas" xmlns:dgm="http://schemas.openxmlformats.org/drawingml/2006/diagram" xmlns:cr="http://schemas.microsoft.com/office/comments/2020/reactions" xmlns:c="http://schemas.openxmlformats.org/drawingml/2006/chart" xmlns:a="http://schemas.openxmlformats.org/drawingml/2006/main" xmlns="http://schemas.microsoft.com/office/tasks/2019/documenttasks">
          <w:drawing>
            <wp:anchor allowOverlap="1" behindDoc="1" distB="0" distL="114300" distR="114300" distT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1064" cy="6111064"/>
              <wp:effectExtent b="0" l="0" r="0" t="0"/>
              <wp:wrapNone/>
              <wp:docPr id="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1064" cy="6111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8F" w:rsidRDefault="00EA0B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44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8F" w:rsidRDefault="001841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044675E"/>
    <w:multiLevelType w:val="multilevel"/>
    <w:tmpl w:val="8212501E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418F"/>
    <w:rsid w:val="0018418F"/>
    <w:rsid w:val="00E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B80A90"/>
    <w:pPr>
      <w:keepNext/>
      <w:outlineLvl w:val="1"/>
    </w:pPr>
    <w:rPr>
      <w:rFonts w:ascii="Arial" w:eastAsia="Times" w:hAnsi="Arial" w:cs="Times New Roman"/>
      <w:b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4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42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B80A90"/>
    <w:pPr>
      <w:keepNext/>
      <w:tabs>
        <w:tab w:val="left" w:pos="8080"/>
      </w:tabs>
      <w:jc w:val="both"/>
      <w:outlineLvl w:val="5"/>
    </w:pPr>
    <w:rPr>
      <w:rFonts w:ascii="Arial" w:eastAsia="Times" w:hAnsi="Arial" w:cs="Times New Roman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nhideWhenUsed/>
    <w:rsid w:val="00014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470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4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470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70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704"/>
    <w:rPr>
      <w:rFonts w:ascii="Lucida Grande" w:hAnsi="Lucida Grande"/>
      <w:sz w:val="18"/>
      <w:szCs w:val="18"/>
    </w:rPr>
  </w:style>
  <w:style w:type="paragraph" w:customStyle="1" w:styleId="Aucunstyle">
    <w:name w:val="[Aucun style]"/>
    <w:rsid w:val="000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itre2Car">
    <w:name w:val="Titre 2 Car"/>
    <w:basedOn w:val="Policepardfaut"/>
    <w:link w:val="Titre2"/>
    <w:rsid w:val="00B80A90"/>
    <w:rPr>
      <w:rFonts w:ascii="Arial" w:eastAsia="Times" w:hAnsi="Arial" w:cs="Times New Roman"/>
      <w:b/>
      <w:sz w:val="24"/>
      <w:lang w:eastAsia="fr-FR"/>
    </w:rPr>
  </w:style>
  <w:style w:type="character" w:customStyle="1" w:styleId="Titre6Car">
    <w:name w:val="Titre 6 Car"/>
    <w:basedOn w:val="Policepardfaut"/>
    <w:link w:val="Titre6"/>
    <w:rsid w:val="00B80A90"/>
    <w:rPr>
      <w:rFonts w:ascii="Arial" w:eastAsia="Times" w:hAnsi="Arial" w:cs="Times New Roman"/>
      <w:b/>
      <w:sz w:val="22"/>
      <w:lang w:eastAsia="fr-FR"/>
    </w:rPr>
  </w:style>
  <w:style w:type="paragraph" w:styleId="Corpsdetexte">
    <w:name w:val="Body Text"/>
    <w:basedOn w:val="Normal"/>
    <w:link w:val="CorpsdetexteCar"/>
    <w:rsid w:val="00B80A90"/>
    <w:pPr>
      <w:spacing w:after="240" w:line="240" w:lineRule="atLeast"/>
      <w:ind w:firstLine="357"/>
      <w:jc w:val="both"/>
    </w:pPr>
    <w:rPr>
      <w:rFonts w:ascii="Arial" w:eastAsia="Times New Roman" w:hAnsi="Arial" w:cs="Times New Roman"/>
      <w:kern w:val="18"/>
      <w:szCs w:val="20"/>
    </w:rPr>
  </w:style>
  <w:style w:type="character" w:customStyle="1" w:styleId="CorpsdetexteCar">
    <w:name w:val="Corps de texte Car"/>
    <w:basedOn w:val="Policepardfaut"/>
    <w:link w:val="Corpsdetexte"/>
    <w:rsid w:val="00B80A90"/>
    <w:rPr>
      <w:rFonts w:ascii="Arial" w:eastAsia="Times New Roman" w:hAnsi="Arial" w:cs="Times New Roman"/>
      <w:kern w:val="18"/>
      <w:sz w:val="24"/>
      <w:lang w:eastAsia="fr-FR"/>
    </w:rPr>
  </w:style>
  <w:style w:type="paragraph" w:styleId="Liste">
    <w:name w:val="List"/>
    <w:basedOn w:val="Normal"/>
    <w:semiHidden/>
    <w:rsid w:val="00B80A90"/>
    <w:pPr>
      <w:ind w:left="283" w:hanging="283"/>
    </w:pPr>
    <w:rPr>
      <w:rFonts w:ascii="Arial" w:eastAsia="Times New Roman" w:hAnsi="Arial" w:cs="Times New Roman"/>
      <w:szCs w:val="20"/>
    </w:rPr>
  </w:style>
  <w:style w:type="paragraph" w:styleId="Date">
    <w:name w:val="Date"/>
    <w:basedOn w:val="Normal"/>
    <w:next w:val="Normal"/>
    <w:link w:val="DateCar"/>
    <w:rsid w:val="00B80A90"/>
    <w:rPr>
      <w:rFonts w:ascii="Arial" w:eastAsia="Times New Roman" w:hAnsi="Arial" w:cs="Times New Roman"/>
      <w:szCs w:val="20"/>
    </w:rPr>
  </w:style>
  <w:style w:type="character" w:customStyle="1" w:styleId="DateCar">
    <w:name w:val="Date Car"/>
    <w:basedOn w:val="Policepardfaut"/>
    <w:link w:val="Date"/>
    <w:rsid w:val="00B80A90"/>
    <w:rPr>
      <w:rFonts w:ascii="Arial" w:eastAsia="Times New Roman" w:hAnsi="Arial" w:cs="Times New Roman"/>
      <w:sz w:val="24"/>
      <w:lang w:eastAsia="fr-FR"/>
    </w:rPr>
  </w:style>
  <w:style w:type="paragraph" w:styleId="Paragraphedeliste">
    <w:name w:val="List Paragraph"/>
    <w:basedOn w:val="Normal"/>
    <w:uiPriority w:val="1"/>
    <w:qFormat/>
    <w:rsid w:val="00B80A90"/>
    <w:pPr>
      <w:ind w:left="720"/>
      <w:contextualSpacing/>
    </w:pPr>
  </w:style>
  <w:style w:type="character" w:customStyle="1" w:styleId="txt">
    <w:name w:val="txt"/>
    <w:basedOn w:val="Policepardfaut"/>
    <w:rsid w:val="00DC211E"/>
  </w:style>
  <w:style w:type="character" w:customStyle="1" w:styleId="qw-form-var">
    <w:name w:val="qw-form-var"/>
    <w:basedOn w:val="Policepardfaut"/>
    <w:rsid w:val="00DC211E"/>
  </w:style>
  <w:style w:type="character" w:customStyle="1" w:styleId="qw-form-inline-choice">
    <w:name w:val="qw-form-inline-choice"/>
    <w:basedOn w:val="Policepardfaut"/>
    <w:rsid w:val="00DC211E"/>
  </w:style>
  <w:style w:type="character" w:customStyle="1" w:styleId="qw-txt">
    <w:name w:val="qw-txt"/>
    <w:basedOn w:val="Policepardfaut"/>
    <w:rsid w:val="00DC211E"/>
  </w:style>
  <w:style w:type="character" w:customStyle="1" w:styleId="qw-art">
    <w:name w:val="qw-art"/>
    <w:basedOn w:val="Policepardfaut"/>
    <w:rsid w:val="00DC211E"/>
  </w:style>
  <w:style w:type="character" w:customStyle="1" w:styleId="qw-form-expl">
    <w:name w:val="qw-form-expl"/>
    <w:basedOn w:val="Policepardfaut"/>
    <w:rsid w:val="00DC211E"/>
  </w:style>
  <w:style w:type="character" w:customStyle="1" w:styleId="qw-sup">
    <w:name w:val="qw-sup"/>
    <w:basedOn w:val="Policepardfaut"/>
    <w:rsid w:val="00DC211E"/>
  </w:style>
  <w:style w:type="character" w:customStyle="1" w:styleId="qw-inline-link">
    <w:name w:val="qw-inline-link"/>
    <w:basedOn w:val="Policepardfaut"/>
    <w:rsid w:val="00DC211E"/>
  </w:style>
  <w:style w:type="character" w:styleId="Lienhypertexte">
    <w:name w:val="Hyperlink"/>
    <w:basedOn w:val="Policepardfaut"/>
    <w:uiPriority w:val="99"/>
    <w:unhideWhenUsed/>
    <w:rsid w:val="00DC211E"/>
    <w:rPr>
      <w:color w:val="0000FF"/>
      <w:u w:val="single"/>
    </w:rPr>
  </w:style>
  <w:style w:type="character" w:customStyle="1" w:styleId="qw-form-ouval">
    <w:name w:val="qw-form-ouval"/>
    <w:basedOn w:val="Policepardfaut"/>
    <w:rsid w:val="00DC211E"/>
  </w:style>
  <w:style w:type="character" w:customStyle="1" w:styleId="qw-form-lib-title">
    <w:name w:val="qw-form-lib-title"/>
    <w:basedOn w:val="Policepardfaut"/>
    <w:rsid w:val="00DC211E"/>
  </w:style>
  <w:style w:type="character" w:styleId="Marquedannotation">
    <w:name w:val="annotation reference"/>
    <w:basedOn w:val="Policepardfaut"/>
    <w:uiPriority w:val="99"/>
    <w:semiHidden/>
    <w:unhideWhenUsed/>
    <w:rsid w:val="00DC211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211E"/>
  </w:style>
  <w:style w:type="character" w:customStyle="1" w:styleId="CommentaireCar">
    <w:name w:val="Commentaire Car"/>
    <w:basedOn w:val="Policepardfaut"/>
    <w:link w:val="Commentaire"/>
    <w:uiPriority w:val="99"/>
    <w:semiHidden/>
    <w:rsid w:val="00DC211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11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11E"/>
    <w:rPr>
      <w:b/>
      <w:bCs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630C34"/>
  </w:style>
  <w:style w:type="character" w:customStyle="1" w:styleId="Titre4Car">
    <w:name w:val="Titre 4 Car"/>
    <w:basedOn w:val="Policepardfaut"/>
    <w:link w:val="Titre4"/>
    <w:uiPriority w:val="9"/>
    <w:semiHidden/>
    <w:rsid w:val="00FC42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C42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ettre">
    <w:name w:val="Lettre"/>
    <w:rsid w:val="00FC42F8"/>
    <w:pPr>
      <w:jc w:val="both"/>
    </w:pPr>
    <w:rPr>
      <w:rFonts w:ascii="Times New Roman" w:eastAsia="Times New Roman" w:hAnsi="Times New Roman" w:cs="Times New Roman"/>
    </w:rPr>
  </w:style>
  <w:style w:type="paragraph" w:customStyle="1" w:styleId="Titre1texte">
    <w:name w:val="Titre 1 : texte"/>
    <w:basedOn w:val="Normal"/>
    <w:rsid w:val="00FC42F8"/>
    <w:pPr>
      <w:ind w:left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qw-refdoc">
    <w:name w:val="qw-refdoc"/>
    <w:basedOn w:val="Policepardfaut"/>
    <w:rsid w:val="00F9376D"/>
  </w:style>
  <w:style w:type="character" w:customStyle="1" w:styleId="txtexp">
    <w:name w:val="txtexp"/>
    <w:basedOn w:val="Policepardfaut"/>
    <w:rsid w:val="00F9376D"/>
  </w:style>
  <w:style w:type="paragraph" w:styleId="NormalWeb">
    <w:name w:val="Normal (Web)"/>
    <w:basedOn w:val="Normal"/>
    <w:uiPriority w:val="99"/>
    <w:unhideWhenUsed/>
    <w:rsid w:val="00261F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AC22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Policepardfaut"/>
    <w:rsid w:val="00AC22B1"/>
  </w:style>
  <w:style w:type="character" w:styleId="lev">
    <w:name w:val="Strong"/>
    <w:basedOn w:val="Policepardfaut"/>
    <w:uiPriority w:val="22"/>
    <w:qFormat/>
    <w:rsid w:val="009512D6"/>
    <w:rPr>
      <w:b/>
      <w:bCs/>
    </w:rPr>
  </w:style>
  <w:style w:type="paragraph" w:styleId="Rvision">
    <w:name w:val="Revision"/>
    <w:hidden/>
    <w:uiPriority w:val="99"/>
    <w:semiHidden/>
    <w:rsid w:val="00597F64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B80A90"/>
    <w:pPr>
      <w:keepNext/>
      <w:outlineLvl w:val="1"/>
    </w:pPr>
    <w:rPr>
      <w:rFonts w:ascii="Arial" w:eastAsia="Times" w:hAnsi="Arial" w:cs="Times New Roman"/>
      <w:b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4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42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B80A90"/>
    <w:pPr>
      <w:keepNext/>
      <w:tabs>
        <w:tab w:val="left" w:pos="8080"/>
      </w:tabs>
      <w:jc w:val="both"/>
      <w:outlineLvl w:val="5"/>
    </w:pPr>
    <w:rPr>
      <w:rFonts w:ascii="Arial" w:eastAsia="Times" w:hAnsi="Arial" w:cs="Times New Roman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nhideWhenUsed/>
    <w:rsid w:val="00014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470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4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470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70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704"/>
    <w:rPr>
      <w:rFonts w:ascii="Lucida Grande" w:hAnsi="Lucida Grande"/>
      <w:sz w:val="18"/>
      <w:szCs w:val="18"/>
    </w:rPr>
  </w:style>
  <w:style w:type="paragraph" w:customStyle="1" w:styleId="Aucunstyle">
    <w:name w:val="[Aucun style]"/>
    <w:rsid w:val="000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itre2Car">
    <w:name w:val="Titre 2 Car"/>
    <w:basedOn w:val="Policepardfaut"/>
    <w:link w:val="Titre2"/>
    <w:rsid w:val="00B80A90"/>
    <w:rPr>
      <w:rFonts w:ascii="Arial" w:eastAsia="Times" w:hAnsi="Arial" w:cs="Times New Roman"/>
      <w:b/>
      <w:sz w:val="24"/>
      <w:lang w:eastAsia="fr-FR"/>
    </w:rPr>
  </w:style>
  <w:style w:type="character" w:customStyle="1" w:styleId="Titre6Car">
    <w:name w:val="Titre 6 Car"/>
    <w:basedOn w:val="Policepardfaut"/>
    <w:link w:val="Titre6"/>
    <w:rsid w:val="00B80A90"/>
    <w:rPr>
      <w:rFonts w:ascii="Arial" w:eastAsia="Times" w:hAnsi="Arial" w:cs="Times New Roman"/>
      <w:b/>
      <w:sz w:val="22"/>
      <w:lang w:eastAsia="fr-FR"/>
    </w:rPr>
  </w:style>
  <w:style w:type="paragraph" w:styleId="Corpsdetexte">
    <w:name w:val="Body Text"/>
    <w:basedOn w:val="Normal"/>
    <w:link w:val="CorpsdetexteCar"/>
    <w:rsid w:val="00B80A90"/>
    <w:pPr>
      <w:spacing w:after="240" w:line="240" w:lineRule="atLeast"/>
      <w:ind w:firstLine="357"/>
      <w:jc w:val="both"/>
    </w:pPr>
    <w:rPr>
      <w:rFonts w:ascii="Arial" w:eastAsia="Times New Roman" w:hAnsi="Arial" w:cs="Times New Roman"/>
      <w:kern w:val="18"/>
      <w:szCs w:val="20"/>
    </w:rPr>
  </w:style>
  <w:style w:type="character" w:customStyle="1" w:styleId="CorpsdetexteCar">
    <w:name w:val="Corps de texte Car"/>
    <w:basedOn w:val="Policepardfaut"/>
    <w:link w:val="Corpsdetexte"/>
    <w:rsid w:val="00B80A90"/>
    <w:rPr>
      <w:rFonts w:ascii="Arial" w:eastAsia="Times New Roman" w:hAnsi="Arial" w:cs="Times New Roman"/>
      <w:kern w:val="18"/>
      <w:sz w:val="24"/>
      <w:lang w:eastAsia="fr-FR"/>
    </w:rPr>
  </w:style>
  <w:style w:type="paragraph" w:styleId="Liste">
    <w:name w:val="List"/>
    <w:basedOn w:val="Normal"/>
    <w:semiHidden/>
    <w:rsid w:val="00B80A90"/>
    <w:pPr>
      <w:ind w:left="283" w:hanging="283"/>
    </w:pPr>
    <w:rPr>
      <w:rFonts w:ascii="Arial" w:eastAsia="Times New Roman" w:hAnsi="Arial" w:cs="Times New Roman"/>
      <w:szCs w:val="20"/>
    </w:rPr>
  </w:style>
  <w:style w:type="paragraph" w:styleId="Date">
    <w:name w:val="Date"/>
    <w:basedOn w:val="Normal"/>
    <w:next w:val="Normal"/>
    <w:link w:val="DateCar"/>
    <w:rsid w:val="00B80A90"/>
    <w:rPr>
      <w:rFonts w:ascii="Arial" w:eastAsia="Times New Roman" w:hAnsi="Arial" w:cs="Times New Roman"/>
      <w:szCs w:val="20"/>
    </w:rPr>
  </w:style>
  <w:style w:type="character" w:customStyle="1" w:styleId="DateCar">
    <w:name w:val="Date Car"/>
    <w:basedOn w:val="Policepardfaut"/>
    <w:link w:val="Date"/>
    <w:rsid w:val="00B80A90"/>
    <w:rPr>
      <w:rFonts w:ascii="Arial" w:eastAsia="Times New Roman" w:hAnsi="Arial" w:cs="Times New Roman"/>
      <w:sz w:val="24"/>
      <w:lang w:eastAsia="fr-FR"/>
    </w:rPr>
  </w:style>
  <w:style w:type="paragraph" w:styleId="Paragraphedeliste">
    <w:name w:val="List Paragraph"/>
    <w:basedOn w:val="Normal"/>
    <w:uiPriority w:val="1"/>
    <w:qFormat/>
    <w:rsid w:val="00B80A90"/>
    <w:pPr>
      <w:ind w:left="720"/>
      <w:contextualSpacing/>
    </w:pPr>
  </w:style>
  <w:style w:type="character" w:customStyle="1" w:styleId="txt">
    <w:name w:val="txt"/>
    <w:basedOn w:val="Policepardfaut"/>
    <w:rsid w:val="00DC211E"/>
  </w:style>
  <w:style w:type="character" w:customStyle="1" w:styleId="qw-form-var">
    <w:name w:val="qw-form-var"/>
    <w:basedOn w:val="Policepardfaut"/>
    <w:rsid w:val="00DC211E"/>
  </w:style>
  <w:style w:type="character" w:customStyle="1" w:styleId="qw-form-inline-choice">
    <w:name w:val="qw-form-inline-choice"/>
    <w:basedOn w:val="Policepardfaut"/>
    <w:rsid w:val="00DC211E"/>
  </w:style>
  <w:style w:type="character" w:customStyle="1" w:styleId="qw-txt">
    <w:name w:val="qw-txt"/>
    <w:basedOn w:val="Policepardfaut"/>
    <w:rsid w:val="00DC211E"/>
  </w:style>
  <w:style w:type="character" w:customStyle="1" w:styleId="qw-art">
    <w:name w:val="qw-art"/>
    <w:basedOn w:val="Policepardfaut"/>
    <w:rsid w:val="00DC211E"/>
  </w:style>
  <w:style w:type="character" w:customStyle="1" w:styleId="qw-form-expl">
    <w:name w:val="qw-form-expl"/>
    <w:basedOn w:val="Policepardfaut"/>
    <w:rsid w:val="00DC211E"/>
  </w:style>
  <w:style w:type="character" w:customStyle="1" w:styleId="qw-sup">
    <w:name w:val="qw-sup"/>
    <w:basedOn w:val="Policepardfaut"/>
    <w:rsid w:val="00DC211E"/>
  </w:style>
  <w:style w:type="character" w:customStyle="1" w:styleId="qw-inline-link">
    <w:name w:val="qw-inline-link"/>
    <w:basedOn w:val="Policepardfaut"/>
    <w:rsid w:val="00DC211E"/>
  </w:style>
  <w:style w:type="character" w:styleId="Lienhypertexte">
    <w:name w:val="Hyperlink"/>
    <w:basedOn w:val="Policepardfaut"/>
    <w:uiPriority w:val="99"/>
    <w:unhideWhenUsed/>
    <w:rsid w:val="00DC211E"/>
    <w:rPr>
      <w:color w:val="0000FF"/>
      <w:u w:val="single"/>
    </w:rPr>
  </w:style>
  <w:style w:type="character" w:customStyle="1" w:styleId="qw-form-ouval">
    <w:name w:val="qw-form-ouval"/>
    <w:basedOn w:val="Policepardfaut"/>
    <w:rsid w:val="00DC211E"/>
  </w:style>
  <w:style w:type="character" w:customStyle="1" w:styleId="qw-form-lib-title">
    <w:name w:val="qw-form-lib-title"/>
    <w:basedOn w:val="Policepardfaut"/>
    <w:rsid w:val="00DC211E"/>
  </w:style>
  <w:style w:type="character" w:styleId="Marquedannotation">
    <w:name w:val="annotation reference"/>
    <w:basedOn w:val="Policepardfaut"/>
    <w:uiPriority w:val="99"/>
    <w:semiHidden/>
    <w:unhideWhenUsed/>
    <w:rsid w:val="00DC211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211E"/>
  </w:style>
  <w:style w:type="character" w:customStyle="1" w:styleId="CommentaireCar">
    <w:name w:val="Commentaire Car"/>
    <w:basedOn w:val="Policepardfaut"/>
    <w:link w:val="Commentaire"/>
    <w:uiPriority w:val="99"/>
    <w:semiHidden/>
    <w:rsid w:val="00DC211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11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11E"/>
    <w:rPr>
      <w:b/>
      <w:bCs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630C34"/>
  </w:style>
  <w:style w:type="character" w:customStyle="1" w:styleId="Titre4Car">
    <w:name w:val="Titre 4 Car"/>
    <w:basedOn w:val="Policepardfaut"/>
    <w:link w:val="Titre4"/>
    <w:uiPriority w:val="9"/>
    <w:semiHidden/>
    <w:rsid w:val="00FC42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C42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ettre">
    <w:name w:val="Lettre"/>
    <w:rsid w:val="00FC42F8"/>
    <w:pPr>
      <w:jc w:val="both"/>
    </w:pPr>
    <w:rPr>
      <w:rFonts w:ascii="Times New Roman" w:eastAsia="Times New Roman" w:hAnsi="Times New Roman" w:cs="Times New Roman"/>
    </w:rPr>
  </w:style>
  <w:style w:type="paragraph" w:customStyle="1" w:styleId="Titre1texte">
    <w:name w:val="Titre 1 : texte"/>
    <w:basedOn w:val="Normal"/>
    <w:rsid w:val="00FC42F8"/>
    <w:pPr>
      <w:ind w:left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qw-refdoc">
    <w:name w:val="qw-refdoc"/>
    <w:basedOn w:val="Policepardfaut"/>
    <w:rsid w:val="00F9376D"/>
  </w:style>
  <w:style w:type="character" w:customStyle="1" w:styleId="txtexp">
    <w:name w:val="txtexp"/>
    <w:basedOn w:val="Policepardfaut"/>
    <w:rsid w:val="00F9376D"/>
  </w:style>
  <w:style w:type="paragraph" w:styleId="NormalWeb">
    <w:name w:val="Normal (Web)"/>
    <w:basedOn w:val="Normal"/>
    <w:uiPriority w:val="99"/>
    <w:unhideWhenUsed/>
    <w:rsid w:val="00261F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AC22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Policepardfaut"/>
    <w:rsid w:val="00AC22B1"/>
  </w:style>
  <w:style w:type="character" w:styleId="lev">
    <w:name w:val="Strong"/>
    <w:basedOn w:val="Policepardfaut"/>
    <w:uiPriority w:val="22"/>
    <w:qFormat/>
    <w:rsid w:val="009512D6"/>
    <w:rPr>
      <w:b/>
      <w:bCs/>
    </w:rPr>
  </w:style>
  <w:style w:type="paragraph" w:styleId="Rvision">
    <w:name w:val="Revision"/>
    <w:hidden/>
    <w:uiPriority w:val="99"/>
    <w:semiHidden/>
    <w:rsid w:val="00597F64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eleaccords.travail-emploi.gouv.fr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Y3LUz4YjQ+Mc5KOsdYnzQDscg==">CgMxLjA4AHIhMXhSVklJUWFzYThDd00wWUxldXFMc3NRakhFR0t1eVRo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3146</Characters>
  <Application>Microsoft Macintosh Word</Application>
  <DocSecurity>0</DocSecurity>
  <Lines>26</Lines>
  <Paragraphs>7</Paragraphs>
  <ScaleCrop>false</ScaleCrop>
  <Company>,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, ,</cp:lastModifiedBy>
  <cp:revision>2</cp:revision>
  <dcterms:created xsi:type="dcterms:W3CDTF">2025-06-30T17:36:00Z</dcterms:created>
  <dcterms:modified xsi:type="dcterms:W3CDTF">2025-06-30T17:36:00Z</dcterms:modified>
</cp:coreProperties>
</file>