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724A6D12" w14:textId="1F305111" w:rsidP="007B0B93" w:rsidR="007B0B93" w:rsidRDefault="007B0B93">
      <w:pPr>
        <w:jc w:val="both"/>
        <w:rPr>
          <w:rFonts w:ascii="Arial" w:cs="Arial" w:hAnsi="Arial"/>
          <w:b/>
          <w:bCs/>
        </w:rPr>
      </w:pPr>
    </w:p>
    <w:p w14:paraId="382890E7" w14:textId="77777777" w:rsidP="007B0B93" w:rsidR="0066295B" w:rsidRDefault="0066295B" w:rsidRPr="00AB7A82">
      <w:pPr>
        <w:jc w:val="both"/>
        <w:rPr>
          <w:rFonts w:ascii="Arial" w:cs="Arial" w:hAnsi="Arial"/>
          <w:b/>
          <w:bCs/>
        </w:rPr>
      </w:pPr>
    </w:p>
    <w:p w14:paraId="2C47454D" w14:textId="77777777" w:rsidP="007B0B93" w:rsidR="007B0B93" w:rsidRDefault="007B0B93" w:rsidRPr="00251F53">
      <w:pPr>
        <w:pBdr>
          <w:top w:color="auto" w:space="1" w:sz="4" w:val="single"/>
          <w:left w:color="auto" w:space="4" w:sz="4" w:val="single"/>
          <w:bottom w:color="auto" w:space="1" w:sz="4" w:val="single"/>
          <w:right w:color="auto" w:space="4" w:sz="4" w:val="single"/>
        </w:pBdr>
        <w:jc w:val="center"/>
        <w:rPr>
          <w:rFonts w:ascii="Trebuchet MS" w:cs="Trebuchet MS" w:hAnsi="Trebuchet MS"/>
          <w:b/>
          <w:bCs/>
          <w:color w:val="000000"/>
          <w:sz w:val="36"/>
          <w:szCs w:val="36"/>
        </w:rPr>
      </w:pPr>
      <w:r>
        <w:rPr>
          <w:rFonts w:ascii="Trebuchet MS" w:cs="Trebuchet MS" w:hAnsi="Trebuchet MS"/>
          <w:b/>
          <w:bCs/>
          <w:color w:val="000000"/>
          <w:sz w:val="36"/>
          <w:szCs w:val="36"/>
        </w:rPr>
        <w:t xml:space="preserve">ACCORD D’ENTREPRISE PORTANT SUR </w:t>
      </w:r>
      <w:r w:rsidRPr="00D5355E">
        <w:rPr>
          <w:rFonts w:ascii="Trebuchet MS" w:cs="Trebuchet MS" w:hAnsi="Trebuchet MS"/>
          <w:b/>
          <w:bCs/>
          <w:color w:val="000000"/>
          <w:sz w:val="36"/>
          <w:szCs w:val="36"/>
        </w:rPr>
        <w:t>LA PRISE EN COMPTE DE LA SANTE DES FEMMES AU TRAVAIL</w:t>
      </w:r>
    </w:p>
    <w:p w14:paraId="69D79853" w14:textId="77777777" w:rsidP="007B0B93" w:rsidR="007B0B93" w:rsidRDefault="007B0B93">
      <w:pPr>
        <w:jc w:val="both"/>
        <w:rPr>
          <w:rFonts w:ascii="Arial" w:cs="Arial" w:hAnsi="Arial"/>
        </w:rPr>
      </w:pPr>
    </w:p>
    <w:p w14:paraId="0EFB9EC4" w14:textId="77777777" w:rsidP="007B0B93" w:rsidR="007B0B93" w:rsidRDefault="007B0B93" w:rsidRPr="00946FA6">
      <w:pPr>
        <w:spacing w:after="240"/>
        <w:jc w:val="both"/>
        <w:rPr>
          <w:rFonts w:cstheme="minorHAnsi"/>
          <w:color w:val="000000"/>
        </w:rPr>
      </w:pPr>
      <w:r w:rsidRPr="00946FA6">
        <w:rPr>
          <w:rFonts w:cstheme="minorHAnsi"/>
          <w:color w:val="000000"/>
        </w:rPr>
        <w:t>ENTRE :</w:t>
      </w:r>
    </w:p>
    <w:p w14:paraId="66068D48" w14:textId="3FFC8A50" w:rsidP="007B0B93" w:rsidR="007B0B93" w:rsidRDefault="007B0B93" w:rsidRPr="00946FA6">
      <w:pPr>
        <w:spacing w:after="240"/>
        <w:jc w:val="both"/>
        <w:rPr>
          <w:rFonts w:cstheme="minorHAnsi"/>
          <w:color w:val="000000"/>
        </w:rPr>
      </w:pPr>
      <w:r w:rsidRPr="00946FA6">
        <w:rPr>
          <w:rFonts w:cstheme="minorHAnsi"/>
          <w:color w:val="000000"/>
        </w:rPr>
        <w:t xml:space="preserve">La société TRANSPORTS </w:t>
      </w:r>
      <w:r>
        <w:rPr>
          <w:rFonts w:cstheme="minorHAnsi"/>
          <w:color w:val="000000"/>
        </w:rPr>
        <w:t>TBR</w:t>
      </w:r>
      <w:r w:rsidRPr="00946FA6">
        <w:rPr>
          <w:rFonts w:cstheme="minorHAnsi"/>
          <w:color w:val="000000"/>
        </w:rPr>
        <w:t xml:space="preserve">, dont le siège social est situé </w:t>
      </w:r>
      <w:r>
        <w:rPr>
          <w:rFonts w:cstheme="minorHAnsi"/>
          <w:color w:val="000000"/>
        </w:rPr>
        <w:t xml:space="preserve">100 Route des </w:t>
      </w:r>
      <w:proofErr w:type="spellStart"/>
      <w:r>
        <w:rPr>
          <w:rFonts w:cstheme="minorHAnsi"/>
          <w:color w:val="000000"/>
        </w:rPr>
        <w:t>Relandières</w:t>
      </w:r>
      <w:proofErr w:type="spellEnd"/>
      <w:r w:rsidRPr="00946FA6">
        <w:rPr>
          <w:rFonts w:cstheme="minorHAnsi"/>
          <w:color w:val="000000"/>
        </w:rPr>
        <w:t xml:space="preserve">, </w:t>
      </w:r>
      <w:r>
        <w:rPr>
          <w:rFonts w:cstheme="minorHAnsi"/>
          <w:color w:val="000000"/>
        </w:rPr>
        <w:t>44850 Le Cellier</w:t>
      </w:r>
      <w:r w:rsidRPr="00946FA6">
        <w:rPr>
          <w:rFonts w:cstheme="minorHAnsi"/>
          <w:color w:val="000000"/>
        </w:rPr>
        <w:t xml:space="preserve">, représentée par, </w:t>
      </w:r>
      <w:r>
        <w:rPr>
          <w:rFonts w:cstheme="minorHAnsi"/>
          <w:color w:val="000000"/>
        </w:rPr>
        <w:t>en qualité de Président Directeur Génér</w:t>
      </w:r>
      <w:r w:rsidR="0008195E">
        <w:rPr>
          <w:rFonts w:cstheme="minorHAnsi"/>
          <w:color w:val="000000"/>
        </w:rPr>
        <w:t>a</w:t>
      </w:r>
      <w:r>
        <w:rPr>
          <w:rFonts w:cstheme="minorHAnsi"/>
          <w:color w:val="000000"/>
        </w:rPr>
        <w:t>l.</w:t>
      </w:r>
    </w:p>
    <w:p w14:paraId="2466F952" w14:textId="77777777" w:rsidP="007B0B93" w:rsidR="007B0B93" w:rsidRDefault="007B0B93" w:rsidRPr="00946FA6">
      <w:pPr>
        <w:spacing w:after="240"/>
        <w:jc w:val="both"/>
        <w:rPr>
          <w:rFonts w:cstheme="minorHAnsi"/>
          <w:color w:val="000000"/>
        </w:rPr>
      </w:pPr>
      <w:r w:rsidRPr="00946FA6">
        <w:rPr>
          <w:rFonts w:cstheme="minorHAnsi"/>
          <w:color w:val="000000"/>
        </w:rPr>
        <w:t>D’une part,</w:t>
      </w:r>
    </w:p>
    <w:p w14:paraId="1D77836D" w14:textId="77777777" w:rsidP="007B0B93" w:rsidR="007B0B93" w:rsidRDefault="007B0B93" w:rsidRPr="00946FA6">
      <w:pPr>
        <w:spacing w:after="240"/>
        <w:jc w:val="both"/>
        <w:rPr>
          <w:rFonts w:cstheme="minorHAnsi"/>
          <w:color w:val="000000"/>
        </w:rPr>
      </w:pPr>
      <w:r w:rsidRPr="00946FA6">
        <w:rPr>
          <w:rFonts w:cstheme="minorHAnsi"/>
          <w:color w:val="000000"/>
        </w:rPr>
        <w:t>ET :</w:t>
      </w:r>
    </w:p>
    <w:p w14:paraId="0CF9AEC3" w14:textId="5652FFCB" w:rsidP="007B0B93" w:rsidR="007B0B93" w:rsidRDefault="007B0B93" w:rsidRPr="00946FA6">
      <w:pPr>
        <w:spacing w:after="240"/>
        <w:jc w:val="both"/>
        <w:rPr>
          <w:rFonts w:cstheme="minorHAnsi"/>
          <w:color w:val="000000"/>
        </w:rPr>
      </w:pPr>
      <w:r w:rsidRPr="00946FA6">
        <w:rPr>
          <w:rFonts w:cstheme="minorHAnsi"/>
          <w:color w:val="000000"/>
        </w:rPr>
        <w:t>L</w:t>
      </w:r>
      <w:r>
        <w:rPr>
          <w:rFonts w:cstheme="minorHAnsi"/>
          <w:color w:val="000000"/>
        </w:rPr>
        <w:t>e Comité Social et Economique</w:t>
      </w:r>
      <w:r w:rsidRPr="00946FA6">
        <w:rPr>
          <w:rFonts w:cstheme="minorHAnsi"/>
          <w:color w:val="000000"/>
        </w:rPr>
        <w:t xml:space="preserve">, représentée par en </w:t>
      </w:r>
      <w:r w:rsidR="005034AB">
        <w:rPr>
          <w:rFonts w:cstheme="minorHAnsi"/>
          <w:color w:val="000000"/>
        </w:rPr>
        <w:t>sa</w:t>
      </w:r>
      <w:r w:rsidRPr="00946FA6">
        <w:rPr>
          <w:rFonts w:cstheme="minorHAnsi"/>
          <w:color w:val="000000"/>
        </w:rPr>
        <w:t xml:space="preserve"> qualité de </w:t>
      </w:r>
      <w:r w:rsidR="005034AB">
        <w:rPr>
          <w:rFonts w:cstheme="minorHAnsi"/>
          <w:color w:val="000000"/>
        </w:rPr>
        <w:t>secrétaire</w:t>
      </w:r>
      <w:r w:rsidR="0066295B">
        <w:rPr>
          <w:rFonts w:cstheme="minorHAnsi"/>
          <w:color w:val="000000"/>
        </w:rPr>
        <w:t xml:space="preserve"> du CSE.</w:t>
      </w:r>
    </w:p>
    <w:p w14:paraId="61B23139" w14:textId="77777777" w:rsidP="007B0B93" w:rsidR="007B0B93" w:rsidRDefault="007B0B93" w:rsidRPr="00946FA6">
      <w:pPr>
        <w:spacing w:after="240"/>
        <w:jc w:val="both"/>
        <w:rPr>
          <w:rFonts w:cstheme="minorHAnsi"/>
          <w:color w:val="000000"/>
        </w:rPr>
      </w:pPr>
      <w:r w:rsidRPr="00946FA6">
        <w:rPr>
          <w:rFonts w:cstheme="minorHAnsi"/>
          <w:color w:val="000000"/>
        </w:rPr>
        <w:t>D’autre part.</w:t>
      </w:r>
    </w:p>
    <w:p w14:paraId="0C17555E" w14:textId="77777777" w:rsidP="007B0B93" w:rsidR="007B0B93" w:rsidRDefault="007B0B93" w:rsidRPr="00946FA6">
      <w:pPr>
        <w:spacing w:after="240"/>
        <w:jc w:val="both"/>
        <w:rPr>
          <w:rFonts w:cstheme="minorHAnsi"/>
          <w:color w:val="000000"/>
        </w:rPr>
      </w:pPr>
    </w:p>
    <w:p w14:paraId="76329BB6" w14:textId="77777777" w:rsidP="007B0B93" w:rsidR="007B0B93" w:rsidRDefault="007B0B93" w:rsidRPr="00946FA6">
      <w:pPr>
        <w:spacing w:after="240"/>
        <w:jc w:val="both"/>
        <w:rPr>
          <w:rFonts w:cstheme="minorHAnsi"/>
          <w:b/>
          <w:bCs/>
          <w:color w:themeColor="text1" w:val="000000"/>
          <w:sz w:val="24"/>
          <w:szCs w:val="24"/>
        </w:rPr>
      </w:pPr>
      <w:r w:rsidRPr="00946FA6">
        <w:rPr>
          <w:rFonts w:cstheme="minorHAnsi"/>
          <w:b/>
          <w:bCs/>
          <w:color w:themeColor="text1" w:val="000000"/>
          <w:sz w:val="24"/>
          <w:szCs w:val="24"/>
          <w:u w:val="single"/>
        </w:rPr>
        <w:t>Préambule</w:t>
      </w:r>
      <w:r w:rsidRPr="00946FA6">
        <w:rPr>
          <w:rFonts w:cstheme="minorHAnsi"/>
          <w:b/>
          <w:bCs/>
          <w:color w:themeColor="text1" w:val="000000"/>
          <w:sz w:val="24"/>
          <w:szCs w:val="24"/>
        </w:rPr>
        <w:t> </w:t>
      </w:r>
    </w:p>
    <w:p w14:paraId="0E8C8789" w14:textId="48FE79C0" w:rsidP="007B0B93" w:rsidR="007B0B93" w:rsidRDefault="007B0B93" w:rsidRPr="00946FA6">
      <w:pPr>
        <w:jc w:val="both"/>
        <w:rPr>
          <w:rFonts w:cstheme="minorHAnsi"/>
          <w:bCs/>
          <w:color w:themeColor="text1" w:val="000000"/>
        </w:rPr>
      </w:pPr>
      <w:r>
        <w:rPr>
          <w:rFonts w:cstheme="minorHAnsi"/>
          <w:bCs/>
          <w:color w:themeColor="text1" w:val="000000"/>
        </w:rPr>
        <w:t xml:space="preserve">Au cours du CSE ordinaire du 03/07/2023, la direction a souhaité engager des discussions concernant l’attribution de congés spécifiques en lien avec la santé des femmes au travail.  </w:t>
      </w:r>
    </w:p>
    <w:p w14:paraId="00DD4A11" w14:textId="77777777" w:rsidP="007B0B93" w:rsidR="005034AB" w:rsidRDefault="005034AB">
      <w:pPr>
        <w:jc w:val="both"/>
        <w:rPr>
          <w:rFonts w:cstheme="minorHAnsi"/>
          <w:bCs/>
          <w:color w:themeColor="text1" w:val="000000"/>
        </w:rPr>
      </w:pPr>
    </w:p>
    <w:p w14:paraId="4C08183F" w14:textId="0E242ADE" w:rsidP="007B0B93" w:rsidR="007B0B93" w:rsidRDefault="007B0B93">
      <w:pPr>
        <w:jc w:val="both"/>
        <w:rPr>
          <w:rFonts w:cstheme="minorHAnsi"/>
          <w:bCs/>
          <w:color w:themeColor="text1" w:val="000000"/>
        </w:rPr>
      </w:pPr>
      <w:r>
        <w:rPr>
          <w:rFonts w:cstheme="minorHAnsi"/>
          <w:bCs/>
          <w:color w:themeColor="text1" w:val="000000"/>
        </w:rPr>
        <w:t xml:space="preserve">Afin de pallier un manque légal à ce sujet et de renforcer la condition de la femme au sein d’un secteur souffrant d’inégalités d’emploi et de rémunération, la direction a souhaité engager le débat avec les élus du CSE sur les congés spécifiques suivants : </w:t>
      </w:r>
    </w:p>
    <w:p w14:paraId="6D96FAC8" w14:textId="77777777" w:rsidP="007B0B93" w:rsidR="007B0B93" w:rsidRDefault="007B0B93">
      <w:pPr>
        <w:jc w:val="both"/>
        <w:rPr>
          <w:rFonts w:cstheme="minorHAnsi"/>
          <w:bCs/>
          <w:color w:themeColor="text1" w:val="000000"/>
        </w:rPr>
      </w:pPr>
    </w:p>
    <w:p w14:paraId="541FB8F3" w14:textId="77777777" w:rsidP="007B0B93" w:rsidR="007B0B93" w:rsidRDefault="007B0B93" w:rsidRPr="00974AC8">
      <w:pPr>
        <w:jc w:val="both"/>
        <w:rPr>
          <w:rFonts w:cstheme="minorHAnsi"/>
          <w:b/>
          <w:color w:themeColor="text1" w:val="000000"/>
        </w:rPr>
      </w:pPr>
      <w:r w:rsidRPr="00974AC8">
        <w:rPr>
          <w:rFonts w:cstheme="minorHAnsi"/>
          <w:b/>
          <w:color w:themeColor="text1" w:val="000000"/>
        </w:rPr>
        <w:t xml:space="preserve">- Congé endométriose ; </w:t>
      </w:r>
    </w:p>
    <w:p w14:paraId="60072A80" w14:textId="77777777" w:rsidP="007B0B93" w:rsidR="007B0B93" w:rsidRDefault="007B0B93" w:rsidRPr="00974AC8">
      <w:pPr>
        <w:jc w:val="both"/>
        <w:rPr>
          <w:rFonts w:cstheme="minorHAnsi"/>
          <w:b/>
          <w:color w:themeColor="text1" w:val="000000"/>
        </w:rPr>
      </w:pPr>
      <w:r w:rsidRPr="00974AC8">
        <w:rPr>
          <w:rFonts w:cstheme="minorHAnsi"/>
          <w:b/>
          <w:color w:themeColor="text1" w:val="000000"/>
        </w:rPr>
        <w:t xml:space="preserve">- Congé de Procréation Médicalement Assistée (PMA) ; </w:t>
      </w:r>
    </w:p>
    <w:p w14:paraId="0DF663BE" w14:textId="77777777" w:rsidP="007B0B93" w:rsidR="007B0B93" w:rsidRDefault="007B0B93" w:rsidRPr="00974AC8">
      <w:pPr>
        <w:jc w:val="both"/>
        <w:rPr>
          <w:rFonts w:cstheme="minorHAnsi"/>
          <w:b/>
          <w:color w:themeColor="text1" w:val="000000"/>
        </w:rPr>
      </w:pPr>
      <w:r w:rsidRPr="00974AC8">
        <w:rPr>
          <w:rFonts w:cstheme="minorHAnsi"/>
          <w:b/>
          <w:color w:themeColor="text1" w:val="000000"/>
        </w:rPr>
        <w:t xml:space="preserve">- Congé avortement ; </w:t>
      </w:r>
    </w:p>
    <w:p w14:paraId="405D3170" w14:textId="77777777" w:rsidP="007B0B93" w:rsidR="007B0B93" w:rsidRDefault="007B0B93">
      <w:pPr>
        <w:jc w:val="both"/>
        <w:rPr>
          <w:rFonts w:cstheme="minorHAnsi"/>
          <w:b/>
          <w:color w:themeColor="text1" w:val="000000"/>
        </w:rPr>
      </w:pPr>
      <w:r w:rsidRPr="00974AC8">
        <w:rPr>
          <w:rFonts w:cstheme="minorHAnsi"/>
          <w:b/>
          <w:color w:themeColor="text1" w:val="000000"/>
        </w:rPr>
        <w:t xml:space="preserve">- Congé fausse couche. </w:t>
      </w:r>
    </w:p>
    <w:p w14:paraId="523E5F1E" w14:textId="77777777" w:rsidP="007B0B93" w:rsidR="007B0B93" w:rsidRDefault="007B0B93">
      <w:pPr>
        <w:jc w:val="both"/>
        <w:rPr>
          <w:rFonts w:cstheme="minorHAnsi"/>
          <w:b/>
          <w:color w:themeColor="text1" w:val="000000"/>
        </w:rPr>
      </w:pPr>
    </w:p>
    <w:p w14:paraId="3DD3DC0A" w14:textId="77777777" w:rsidP="007B0B93" w:rsidR="007B0B93" w:rsidRDefault="007B0B93" w:rsidRPr="00FA491B">
      <w:pPr>
        <w:jc w:val="both"/>
        <w:rPr>
          <w:rFonts w:cstheme="minorHAnsi"/>
          <w:bCs/>
          <w:color w:themeColor="text1" w:val="000000"/>
        </w:rPr>
      </w:pPr>
      <w:r w:rsidRPr="00FA491B">
        <w:rPr>
          <w:rFonts w:cstheme="minorHAnsi"/>
          <w:bCs/>
          <w:color w:themeColor="text1" w:val="000000"/>
        </w:rPr>
        <w:t>Par ces mesures, les parties, au-delà des obligations légales et conventionnelles, souhaitent soutenir les collaboratrices durant les moments difficiles qu’elles peuvent traverser et lors desquels travailler peut s’avérer difficile – si ce n’est impossible.</w:t>
      </w:r>
    </w:p>
    <w:p w14:paraId="03AD32D2" w14:textId="77777777" w:rsidP="007B0B93" w:rsidR="007B0B93" w:rsidRDefault="007B0B93">
      <w:pPr>
        <w:jc w:val="both"/>
        <w:rPr>
          <w:rFonts w:cstheme="minorHAnsi"/>
          <w:bCs/>
          <w:color w:themeColor="text1" w:val="000000"/>
        </w:rPr>
      </w:pPr>
    </w:p>
    <w:p w14:paraId="412674DF" w14:textId="77A737A2" w:rsidP="007B0B93" w:rsidR="007B0B93" w:rsidRDefault="007B0B93">
      <w:pPr>
        <w:jc w:val="both"/>
        <w:rPr>
          <w:rFonts w:cstheme="minorHAnsi"/>
          <w:bCs/>
          <w:color w:themeColor="text1" w:val="000000"/>
        </w:rPr>
      </w:pPr>
      <w:r>
        <w:rPr>
          <w:rFonts w:cstheme="minorHAnsi"/>
          <w:bCs/>
          <w:color w:themeColor="text1" w:val="000000"/>
        </w:rPr>
        <w:t xml:space="preserve">Ainsi, après des échanges avec les différents élus de la société et un accord unanime des membres titulaires du CSE, les parties prenantes ont conclu à un accord portant sur les modalités exposées ci-après. </w:t>
      </w:r>
    </w:p>
    <w:p w14:paraId="6F733FF8" w14:textId="77777777" w:rsidP="007B0B93" w:rsidR="007B0B93" w:rsidRDefault="007B0B93">
      <w:pPr>
        <w:jc w:val="both"/>
        <w:rPr>
          <w:rFonts w:cstheme="minorHAnsi"/>
          <w:bCs/>
          <w:color w:themeColor="text1" w:val="000000"/>
        </w:rPr>
      </w:pPr>
    </w:p>
    <w:p w14:paraId="7B5E5D4F" w14:textId="77777777" w:rsidP="007B0B93" w:rsidR="007B0B93" w:rsidRDefault="007B0B93" w:rsidRPr="00974AC8">
      <w:pPr>
        <w:rPr>
          <w:rFonts w:ascii="Calibri" w:cs="Calibri" w:eastAsia="Calibri" w:hAnsi="Calibri"/>
          <w:b/>
          <w:bCs/>
          <w:sz w:val="24"/>
          <w:szCs w:val="24"/>
          <w14:ligatures w14:val="standardContextual"/>
        </w:rPr>
      </w:pPr>
      <w:r w:rsidRPr="00974AC8">
        <w:rPr>
          <w:rFonts w:ascii="Calibri" w:cs="Calibri" w:eastAsia="Calibri" w:hAnsi="Calibri"/>
          <w:b/>
          <w:bCs/>
          <w:sz w:val="24"/>
          <w:szCs w:val="24"/>
          <w:u w:val="single"/>
          <w14:ligatures w14:val="standardContextual"/>
        </w:rPr>
        <w:t>A</w:t>
      </w:r>
      <w:r>
        <w:rPr>
          <w:rFonts w:ascii="Calibri" w:cs="Calibri" w:eastAsia="Calibri" w:hAnsi="Calibri"/>
          <w:b/>
          <w:bCs/>
          <w:sz w:val="24"/>
          <w:szCs w:val="24"/>
          <w:u w:val="single"/>
          <w14:ligatures w14:val="standardContextual"/>
        </w:rPr>
        <w:t xml:space="preserve">RTICLE </w:t>
      </w:r>
      <w:r w:rsidRPr="00974AC8">
        <w:rPr>
          <w:rFonts w:ascii="Calibri" w:cs="Calibri" w:eastAsia="Calibri" w:hAnsi="Calibri"/>
          <w:b/>
          <w:bCs/>
          <w:sz w:val="24"/>
          <w:szCs w:val="24"/>
          <w:u w:val="single"/>
          <w14:ligatures w14:val="standardContextual"/>
        </w:rPr>
        <w:t>1 - Congé endométriose</w:t>
      </w:r>
    </w:p>
    <w:p w14:paraId="6E2E98C8" w14:textId="77777777" w:rsidP="007B0B93" w:rsidR="007B0B93" w:rsidRDefault="007B0B93" w:rsidRPr="00974AC8">
      <w:pPr>
        <w:rPr>
          <w:rFonts w:ascii="Calibri" w:cs="Calibri" w:eastAsia="Calibri" w:hAnsi="Calibri"/>
          <w14:ligatures w14:val="standardContextual"/>
        </w:rPr>
      </w:pPr>
    </w:p>
    <w:p w14:paraId="0CA81EE1" w14:textId="77777777" w:rsidP="007B0B93" w:rsidR="007B0B93" w:rsidRDefault="007B0B93" w:rsidRPr="00974AC8">
      <w:pPr>
        <w:jc w:val="both"/>
        <w:rPr>
          <w:rFonts w:ascii="Calibri" w:cs="Calibri" w:eastAsia="Calibri" w:hAnsi="Calibri"/>
          <w14:ligatures w14:val="standardContextual"/>
        </w:rPr>
      </w:pPr>
      <w:r w:rsidRPr="00974AC8">
        <w:rPr>
          <w:rFonts w:ascii="Calibri" w:cs="Calibri" w:eastAsia="Calibri" w:hAnsi="Calibri"/>
          <w14:ligatures w14:val="standardContextual"/>
        </w:rPr>
        <w:t>Conscients des difficultés que traversent les collaboratrices souffrant d’endométriose, les Parties conviennent d’instaurer un congé de six (6) jours maximums par an, sans condition d’ancienneté, non déductibles des congés et n’entrainant aucune réduction de salaire aux femmes concernées par cette pathologie afin de les soutenir dans ces moments difficiles.</w:t>
      </w:r>
    </w:p>
    <w:p w14:paraId="28B558B5" w14:textId="77777777" w:rsidP="007B0B93" w:rsidR="007B0B93" w:rsidRDefault="007B0B93" w:rsidRPr="00974AC8">
      <w:pPr>
        <w:jc w:val="both"/>
        <w:rPr>
          <w:rFonts w:ascii="Calibri" w:cs="Calibri" w:eastAsia="Calibri" w:hAnsi="Calibri"/>
          <w14:ligatures w14:val="standardContextual"/>
        </w:rPr>
      </w:pPr>
    </w:p>
    <w:p w14:paraId="5018EFB8" w14:textId="77777777" w:rsidP="007B0B93" w:rsidR="007B0B93" w:rsidRDefault="007B0B93" w:rsidRPr="00974AC8">
      <w:pPr>
        <w:jc w:val="both"/>
        <w:rPr>
          <w:rFonts w:ascii="Calibri" w:cs="Calibri" w:eastAsia="Calibri" w:hAnsi="Calibri"/>
          <w14:ligatures w14:val="standardContextual"/>
        </w:rPr>
      </w:pPr>
      <w:r w:rsidRPr="00974AC8">
        <w:rPr>
          <w:rFonts w:ascii="Calibri" w:cs="Calibri" w:eastAsia="Calibri" w:hAnsi="Calibri"/>
          <w14:ligatures w14:val="standardContextual"/>
        </w:rPr>
        <w:t xml:space="preserve">Ces absences n'entraînent aucune diminution de la rémunération et ne sont pas assimilées à une période de travail effectif pour la détermination de la durée des congés payés ainsi que pour les droits légaux ou conventionnels acquis par la salariée au titre de son ancienneté dans l'Entreprise. </w:t>
      </w:r>
    </w:p>
    <w:p w14:paraId="67B1491F" w14:textId="77777777" w:rsidP="007B0B93" w:rsidR="007B0B93" w:rsidRDefault="007B0B93" w:rsidRPr="00974AC8">
      <w:pPr>
        <w:jc w:val="both"/>
        <w:rPr>
          <w:rFonts w:ascii="Calibri" w:cs="Calibri" w:eastAsia="Calibri" w:hAnsi="Calibri"/>
          <w:i/>
          <w:iCs/>
          <w14:ligatures w14:val="standardContextual"/>
        </w:rPr>
      </w:pPr>
    </w:p>
    <w:p w14:paraId="174F1DF4" w14:textId="77777777" w:rsidP="007B0B93" w:rsidR="007B0B93" w:rsidRDefault="007B0B93" w:rsidRPr="00974AC8">
      <w:pPr>
        <w:jc w:val="both"/>
        <w:rPr>
          <w:rFonts w:ascii="Calibri" w:cs="Calibri" w:eastAsia="Calibri" w:hAnsi="Calibri"/>
          <w14:ligatures w14:val="standardContextual"/>
        </w:rPr>
      </w:pPr>
      <w:r w:rsidRPr="00974AC8">
        <w:rPr>
          <w:rFonts w:ascii="Calibri" w:cs="Calibri" w:eastAsia="Calibri" w:hAnsi="Calibri"/>
          <w14:ligatures w14:val="standardContextual"/>
        </w:rPr>
        <w:t>Par ailleurs, compte tenu des contraintes liées aux éventuels traitement ou d’hospitalisation, il est convenu de faciliter l’organisation du travail et les plannings de la salariée concernée, en conséquence.</w:t>
      </w:r>
    </w:p>
    <w:p w14:paraId="513CDE80" w14:textId="77777777" w:rsidP="007B0B93" w:rsidR="007B0B93" w:rsidRDefault="007B0B93" w:rsidRPr="00974AC8">
      <w:pPr>
        <w:jc w:val="both"/>
        <w:rPr>
          <w:rFonts w:ascii="Calibri" w:cs="Calibri" w:eastAsia="Calibri" w:hAnsi="Calibri"/>
          <w14:ligatures w14:val="standardContextual"/>
        </w:rPr>
      </w:pPr>
    </w:p>
    <w:p w14:paraId="2730AB92" w14:textId="21E7F9E1" w:rsidP="007B0B93" w:rsidR="007B0B93" w:rsidRDefault="007B0B93" w:rsidRPr="00974AC8">
      <w:pPr>
        <w:jc w:val="both"/>
        <w:rPr>
          <w:rFonts w:ascii="Calibri" w:cs="Calibri" w:eastAsia="Calibri" w:hAnsi="Calibri"/>
          <w14:ligatures w14:val="standardContextual"/>
        </w:rPr>
      </w:pPr>
      <w:r w:rsidRPr="00974AC8">
        <w:rPr>
          <w:rFonts w:ascii="Calibri" w:cs="Calibri" w:eastAsia="Calibri" w:hAnsi="Calibri"/>
          <w14:ligatures w14:val="standardContextual"/>
        </w:rPr>
        <w:t xml:space="preserve">Compte tenu de la pathologie et de la difficulté de déterminer des congés spécifiques en lien avec </w:t>
      </w:r>
      <w:r w:rsidR="005034AB" w:rsidRPr="00974AC8">
        <w:rPr>
          <w:rFonts w:ascii="Calibri" w:cs="Calibri" w:eastAsia="Calibri" w:hAnsi="Calibri"/>
          <w14:ligatures w14:val="standardContextual"/>
        </w:rPr>
        <w:t>les différents stades</w:t>
      </w:r>
      <w:r w:rsidRPr="00974AC8">
        <w:rPr>
          <w:rFonts w:ascii="Calibri" w:cs="Calibri" w:eastAsia="Calibri" w:hAnsi="Calibri"/>
          <w14:ligatures w14:val="standardContextual"/>
        </w:rPr>
        <w:t xml:space="preserve"> de l’endométriose</w:t>
      </w:r>
      <w:r>
        <w:rPr>
          <w:rFonts w:ascii="Calibri" w:cs="Calibri" w:eastAsia="Calibri" w:hAnsi="Calibri"/>
          <w14:ligatures w14:val="standardContextual"/>
        </w:rPr>
        <w:t xml:space="preserve"> définis par le cadre médical</w:t>
      </w:r>
      <w:r w:rsidRPr="00974AC8">
        <w:rPr>
          <w:rFonts w:ascii="Calibri" w:cs="Calibri" w:eastAsia="Calibri" w:hAnsi="Calibri"/>
          <w14:ligatures w14:val="standardContextual"/>
        </w:rPr>
        <w:t xml:space="preserve">, il est convenu que ce congé ne sera accordé qu’aux collaboratrices étant reconnu en qualité de travailleur handicapé au titre de l’endométriose. </w:t>
      </w:r>
    </w:p>
    <w:p w14:paraId="1132B611" w14:textId="77777777" w:rsidP="007B0B93" w:rsidR="007B0B93" w:rsidRDefault="007B0B93" w:rsidRPr="00974AC8">
      <w:pPr>
        <w:rPr>
          <w:rFonts w:ascii="Calibri" w:cs="Calibri" w:eastAsia="Calibri" w:hAnsi="Calibri"/>
          <w:i/>
          <w:iCs/>
          <w14:ligatures w14:val="standardContextual"/>
        </w:rPr>
      </w:pPr>
    </w:p>
    <w:p w14:paraId="617F5C3A" w14:textId="77777777" w:rsidP="007B0B93" w:rsidR="007B0B93" w:rsidRDefault="007B0B93" w:rsidRPr="00974AC8">
      <w:pPr>
        <w:rPr>
          <w:rFonts w:ascii="Calibri" w:cs="Calibri" w:eastAsia="Calibri" w:hAnsi="Calibri"/>
          <w14:ligatures w14:val="standardContextual"/>
        </w:rPr>
      </w:pPr>
      <w:r w:rsidRPr="00974AC8">
        <w:rPr>
          <w:rFonts w:ascii="Calibri" w:cs="Calibri" w:eastAsia="Calibri" w:hAnsi="Calibri"/>
          <w14:ligatures w14:val="standardContextual"/>
        </w:rPr>
        <w:t xml:space="preserve">Les conditions de justificatifs sont détaillées à l’article </w:t>
      </w:r>
      <w:r>
        <w:rPr>
          <w:rFonts w:ascii="Calibri" w:cs="Calibri" w:eastAsia="Calibri" w:hAnsi="Calibri"/>
          <w14:ligatures w14:val="standardContextual"/>
        </w:rPr>
        <w:t>5</w:t>
      </w:r>
      <w:r w:rsidRPr="00974AC8">
        <w:rPr>
          <w:rFonts w:ascii="Calibri" w:cs="Calibri" w:eastAsia="Calibri" w:hAnsi="Calibri"/>
          <w14:ligatures w14:val="standardContextual"/>
        </w:rPr>
        <w:t xml:space="preserve"> du présent accord. </w:t>
      </w:r>
    </w:p>
    <w:p w14:paraId="6E0203CB" w14:textId="77777777" w:rsidP="007B0B93" w:rsidR="007B0B93" w:rsidRDefault="007B0B93" w:rsidRPr="00974AC8">
      <w:pPr>
        <w:rPr>
          <w:rFonts w:ascii="Calibri" w:cs="Calibri" w:eastAsia="Calibri" w:hAnsi="Calibri"/>
          <w14:ligatures w14:val="standardContextual"/>
        </w:rPr>
      </w:pPr>
    </w:p>
    <w:p w14:paraId="5E588412" w14:textId="77777777" w:rsidP="007B0B93" w:rsidR="007B0B93" w:rsidRDefault="007B0B93" w:rsidRPr="00974AC8">
      <w:pPr>
        <w:rPr>
          <w:rFonts w:ascii="Calibri" w:cs="Calibri" w:eastAsia="Calibri" w:hAnsi="Calibri"/>
          <w:b/>
          <w:bCs/>
          <w:sz w:val="24"/>
          <w:szCs w:val="24"/>
          <w:u w:val="single"/>
          <w14:ligatures w14:val="standardContextual"/>
        </w:rPr>
      </w:pPr>
      <w:r w:rsidRPr="004A3E4A">
        <w:rPr>
          <w:rFonts w:ascii="Calibri" w:cs="Calibri" w:eastAsia="Calibri" w:hAnsi="Calibri"/>
          <w:b/>
          <w:bCs/>
          <w:sz w:val="24"/>
          <w:szCs w:val="24"/>
          <w:u w:val="single"/>
          <w14:ligatures w14:val="standardContextual"/>
        </w:rPr>
        <w:t xml:space="preserve">ARTICLE 2 - </w:t>
      </w:r>
      <w:r w:rsidRPr="00974AC8">
        <w:rPr>
          <w:rFonts w:ascii="Calibri" w:cs="Calibri" w:eastAsia="Calibri" w:hAnsi="Calibri"/>
          <w:b/>
          <w:bCs/>
          <w:sz w:val="24"/>
          <w:szCs w:val="24"/>
          <w:u w:val="single"/>
          <w14:ligatures w14:val="standardContextual"/>
        </w:rPr>
        <w:t xml:space="preserve">Congé </w:t>
      </w:r>
      <w:r w:rsidRPr="004A3E4A">
        <w:rPr>
          <w:rFonts w:ascii="Calibri" w:cs="Calibri" w:eastAsia="Calibri" w:hAnsi="Calibri"/>
          <w:b/>
          <w:bCs/>
          <w:sz w:val="24"/>
          <w:szCs w:val="24"/>
          <w:u w:val="single"/>
          <w14:ligatures w14:val="standardContextual"/>
        </w:rPr>
        <w:t>Procréation Médicalement Assistée (PMA)</w:t>
      </w:r>
    </w:p>
    <w:p w14:paraId="04CF942A" w14:textId="77777777" w:rsidP="007B0B93" w:rsidR="007B0B93" w:rsidRDefault="007B0B93" w:rsidRPr="00974AC8">
      <w:pPr>
        <w:jc w:val="both"/>
        <w:rPr>
          <w:rFonts w:ascii="Calibri" w:cs="Calibri" w:eastAsia="Calibri" w:hAnsi="Calibri"/>
          <w14:ligatures w14:val="standardContextual"/>
        </w:rPr>
      </w:pPr>
    </w:p>
    <w:p w14:paraId="2A73B8C5" w14:textId="77777777" w:rsidP="007B0B93" w:rsidR="007B0B93" w:rsidRDefault="007B0B93" w:rsidRPr="00974AC8">
      <w:pPr>
        <w:jc w:val="both"/>
        <w:rPr>
          <w:rFonts w:ascii="Calibri" w:cs="Calibri" w:eastAsia="Calibri" w:hAnsi="Calibri"/>
          <w14:ligatures w14:val="standardContextual"/>
        </w:rPr>
      </w:pPr>
      <w:r w:rsidRPr="00974AC8">
        <w:rPr>
          <w:rFonts w:ascii="Calibri" w:cs="Calibri" w:eastAsia="Calibri" w:hAnsi="Calibri"/>
          <w14:ligatures w14:val="standardContextual"/>
        </w:rPr>
        <w:t>Il est rappelé que conformément à l’article L.1225-16 alinéa 2 du Code du travail, la salariée</w:t>
      </w:r>
      <w:r>
        <w:rPr>
          <w:rFonts w:ascii="Calibri" w:cs="Calibri" w:eastAsia="Calibri" w:hAnsi="Calibri"/>
          <w14:ligatures w14:val="standardContextual"/>
        </w:rPr>
        <w:t xml:space="preserve"> en cours de processus</w:t>
      </w:r>
      <w:r w:rsidRPr="00974AC8">
        <w:rPr>
          <w:rFonts w:ascii="Calibri" w:cs="Calibri" w:eastAsia="Calibri" w:hAnsi="Calibri"/>
          <w14:ligatures w14:val="standardContextual"/>
        </w:rPr>
        <w:t xml:space="preserve"> d'une</w:t>
      </w:r>
      <w:r>
        <w:rPr>
          <w:rFonts w:ascii="Calibri" w:cs="Calibri" w:eastAsia="Calibri" w:hAnsi="Calibri"/>
          <w14:ligatures w14:val="standardContextual"/>
        </w:rPr>
        <w:t xml:space="preserve"> </w:t>
      </w:r>
      <w:r w:rsidRPr="00974AC8">
        <w:rPr>
          <w:rFonts w:ascii="Calibri" w:cs="Calibri" w:eastAsia="Calibri" w:hAnsi="Calibri"/>
          <w14:ligatures w14:val="standardContextual"/>
        </w:rPr>
        <w:t>PMA bénéficie d’une autorisation d’absence pour les actes médicaux nécessaires.</w:t>
      </w:r>
    </w:p>
    <w:p w14:paraId="3484292C" w14:textId="77777777" w:rsidP="007B0B93" w:rsidR="007B0B93" w:rsidRDefault="007B0B93" w:rsidRPr="00974AC8">
      <w:pPr>
        <w:jc w:val="both"/>
        <w:rPr>
          <w:rFonts w:ascii="Calibri" w:cs="Calibri" w:eastAsia="Calibri" w:hAnsi="Calibri"/>
          <w14:ligatures w14:val="standardContextual"/>
        </w:rPr>
      </w:pPr>
    </w:p>
    <w:p w14:paraId="4D2C3B06" w14:textId="77777777" w:rsidP="007B0B93" w:rsidR="007B0B93" w:rsidRDefault="007B0B93" w:rsidRPr="00974AC8">
      <w:pPr>
        <w:jc w:val="both"/>
        <w:rPr>
          <w:rFonts w:ascii="Calibri" w:cs="Calibri" w:eastAsia="Calibri" w:hAnsi="Calibri"/>
          <w14:ligatures w14:val="standardContextual"/>
        </w:rPr>
      </w:pPr>
      <w:r w:rsidRPr="00974AC8">
        <w:rPr>
          <w:rFonts w:ascii="Calibri" w:cs="Calibri" w:eastAsia="Calibri" w:hAnsi="Calibri"/>
          <w14:ligatures w14:val="standardContextual"/>
        </w:rPr>
        <w:t xml:space="preserve">Le conjoint salarié de la femme bénéficiant d'une assistance médicale à la procréation ou la personne partenaire de PACS ou vivant maritalement avec elle bénéficie également d'une autorisation d'absence pour se rendre à </w:t>
      </w:r>
      <w:r w:rsidRPr="00974AC8">
        <w:rPr>
          <w:rFonts w:ascii="Calibri" w:cs="Calibri" w:eastAsia="Calibri" w:hAnsi="Calibri"/>
          <w:b/>
          <w:bCs/>
          <w14:ligatures w14:val="standardContextual"/>
        </w:rPr>
        <w:t>trois</w:t>
      </w:r>
      <w:r w:rsidRPr="00974AC8">
        <w:rPr>
          <w:rFonts w:ascii="Calibri" w:cs="Calibri" w:eastAsia="Calibri" w:hAnsi="Calibri"/>
          <w14:ligatures w14:val="standardContextual"/>
        </w:rPr>
        <w:t xml:space="preserve"> de ces examens médicaux obligatoires ou de ces actes médicaux nécessaires pour chaque protocole du parcours d'assistance médicale au maximum.</w:t>
      </w:r>
    </w:p>
    <w:p w14:paraId="34E13E4E" w14:textId="77777777" w:rsidP="007B0B93" w:rsidR="007B0B93" w:rsidRDefault="007B0B93" w:rsidRPr="00974AC8">
      <w:pPr>
        <w:jc w:val="both"/>
        <w:rPr>
          <w:rFonts w:ascii="Calibri" w:cs="Calibri" w:eastAsia="Calibri" w:hAnsi="Calibri"/>
          <w14:ligatures w14:val="standardContextual"/>
        </w:rPr>
      </w:pPr>
    </w:p>
    <w:p w14:paraId="40200A1B" w14:textId="77777777" w:rsidP="007B0B93" w:rsidR="007B0B93" w:rsidRDefault="007B0B93" w:rsidRPr="00974AC8">
      <w:pPr>
        <w:jc w:val="both"/>
        <w:rPr>
          <w:rFonts w:ascii="Calibri" w:cs="Calibri" w:eastAsia="Calibri" w:hAnsi="Calibri"/>
          <w14:ligatures w14:val="standardContextual"/>
        </w:rPr>
      </w:pPr>
      <w:r w:rsidRPr="00974AC8">
        <w:rPr>
          <w:rFonts w:ascii="Calibri" w:cs="Calibri" w:eastAsia="Calibri" w:hAnsi="Calibri"/>
          <w14:ligatures w14:val="standardContextual"/>
        </w:rPr>
        <w:t>Pour rappel, le Code du travail prévoit que ces absences n'entraînent aucune diminution de la rémunération et sont assimilées à une période de travail effectif pour la détermination de la durée des congés payés ainsi que pour les droits légaux ou conventionnels acquis par la salariée ou le salarié au titre de son ancienneté dans l'Entreprise.</w:t>
      </w:r>
    </w:p>
    <w:p w14:paraId="28308A7F" w14:textId="77777777" w:rsidP="007B0B93" w:rsidR="007B0B93" w:rsidRDefault="007B0B93" w:rsidRPr="00974AC8">
      <w:pPr>
        <w:jc w:val="both"/>
        <w:rPr>
          <w:rFonts w:ascii="Calibri" w:cs="Calibri" w:eastAsia="Calibri" w:hAnsi="Calibri"/>
          <w14:ligatures w14:val="standardContextual"/>
        </w:rPr>
      </w:pPr>
    </w:p>
    <w:p w14:paraId="693DF80F" w14:textId="77777777" w:rsidP="007B0B93" w:rsidR="007B0B93" w:rsidRDefault="007B0B93" w:rsidRPr="00974AC8">
      <w:pPr>
        <w:jc w:val="both"/>
        <w:rPr>
          <w:rFonts w:ascii="Calibri" w:cs="Calibri" w:eastAsia="Calibri" w:hAnsi="Calibri"/>
          <w14:ligatures w14:val="standardContextual"/>
        </w:rPr>
      </w:pPr>
      <w:r w:rsidRPr="00974AC8">
        <w:rPr>
          <w:rFonts w:ascii="Calibri" w:cs="Calibri" w:eastAsia="Calibri" w:hAnsi="Calibri"/>
          <w14:ligatures w14:val="standardContextual"/>
        </w:rPr>
        <w:t>En complément de ce dispositif légal existant, les parties conviennent qu’un (1) jour de congé maximum par an, sans condition d’ancienneté, sera accordé à la salariée bénéficiant d'une PMA.</w:t>
      </w:r>
    </w:p>
    <w:p w14:paraId="0962540F" w14:textId="77777777" w:rsidP="007B0B93" w:rsidR="007B0B93" w:rsidRDefault="007B0B93" w:rsidRPr="00974AC8">
      <w:pPr>
        <w:jc w:val="both"/>
        <w:rPr>
          <w:rFonts w:ascii="Calibri" w:cs="Calibri" w:eastAsia="Calibri" w:hAnsi="Calibri"/>
          <w14:ligatures w14:val="standardContextual"/>
        </w:rPr>
      </w:pPr>
    </w:p>
    <w:p w14:paraId="1C3F798D" w14:textId="77777777" w:rsidP="007B0B93" w:rsidR="007B0B93" w:rsidRDefault="007B0B93" w:rsidRPr="00974AC8">
      <w:pPr>
        <w:jc w:val="both"/>
        <w:rPr>
          <w:rFonts w:ascii="Calibri" w:cs="Calibri" w:eastAsia="Calibri" w:hAnsi="Calibri"/>
          <w14:ligatures w14:val="standardContextual"/>
        </w:rPr>
      </w:pPr>
      <w:r w:rsidRPr="00974AC8">
        <w:rPr>
          <w:rFonts w:ascii="Calibri" w:cs="Calibri" w:eastAsia="Calibri" w:hAnsi="Calibri"/>
          <w14:ligatures w14:val="standardContextual"/>
        </w:rPr>
        <w:t>Ce jour de congé supplémentaire n’entraîne aucune diminution de la rémunération mais n’est pas assimilé à une période de travail effectif pour la détermination de la durée des congés payés ainsi que pour les droits légaux ou conventionnels acquis par la salariée au titre de son ancienneté dans l'Entreprise.</w:t>
      </w:r>
    </w:p>
    <w:p w14:paraId="4A26CF3E" w14:textId="77777777" w:rsidP="007B0B93" w:rsidR="007B0B93" w:rsidRDefault="007B0B93" w:rsidRPr="00974AC8">
      <w:pPr>
        <w:jc w:val="both"/>
        <w:rPr>
          <w:rFonts w:ascii="Calibri" w:cs="Calibri" w:eastAsia="Calibri" w:hAnsi="Calibri"/>
          <w14:ligatures w14:val="standardContextual"/>
        </w:rPr>
      </w:pPr>
    </w:p>
    <w:p w14:paraId="4DE96021" w14:textId="77777777" w:rsidP="007B0B93" w:rsidR="007B0B93" w:rsidRDefault="007B0B93" w:rsidRPr="00974AC8">
      <w:pPr>
        <w:jc w:val="both"/>
        <w:rPr>
          <w:rFonts w:ascii="Calibri" w:cs="Calibri" w:eastAsia="Calibri" w:hAnsi="Calibri"/>
          <w14:ligatures w14:val="standardContextual"/>
        </w:rPr>
      </w:pPr>
      <w:r w:rsidRPr="00974AC8">
        <w:rPr>
          <w:rFonts w:ascii="Calibri" w:cs="Calibri" w:eastAsia="Calibri" w:hAnsi="Calibri"/>
          <w14:ligatures w14:val="standardContextual"/>
        </w:rPr>
        <w:t>Par ailleurs, compte tenu des contraintes liées aux dates de traitement ou d’hospitalisation pour l’AMP ou la PMA, il est convenu de faciliter l’organisation du travail et les plannings de la salariée concernée, en conséquence.</w:t>
      </w:r>
    </w:p>
    <w:p w14:paraId="0D19AD54" w14:textId="77777777" w:rsidP="007B0B93" w:rsidR="007B0B93" w:rsidRDefault="007B0B93" w:rsidRPr="00974AC8">
      <w:pPr>
        <w:jc w:val="both"/>
        <w:rPr>
          <w:rFonts w:ascii="Calibri" w:cs="Calibri" w:eastAsia="Calibri" w:hAnsi="Calibri"/>
          <w14:ligatures w14:val="standardContextual"/>
        </w:rPr>
      </w:pPr>
    </w:p>
    <w:p w14:paraId="2D1B331A" w14:textId="77777777" w:rsidP="007B0B93" w:rsidR="007B0B93" w:rsidRDefault="007B0B93" w:rsidRPr="00974AC8">
      <w:pPr>
        <w:jc w:val="both"/>
        <w:rPr>
          <w:rFonts w:ascii="Calibri" w:cs="Calibri" w:eastAsia="Calibri" w:hAnsi="Calibri"/>
          <w14:ligatures w14:val="standardContextual"/>
        </w:rPr>
      </w:pPr>
      <w:r w:rsidRPr="00974AC8">
        <w:rPr>
          <w:rFonts w:ascii="Calibri" w:cs="Calibri" w:eastAsia="Calibri" w:hAnsi="Calibri"/>
          <w14:ligatures w14:val="standardContextual"/>
        </w:rPr>
        <w:t xml:space="preserve">Les conditions de justificatifs sont détaillées à l’article </w:t>
      </w:r>
      <w:r w:rsidRPr="004A3E4A">
        <w:rPr>
          <w:rFonts w:ascii="Calibri" w:cs="Calibri" w:eastAsia="Calibri" w:hAnsi="Calibri"/>
          <w14:ligatures w14:val="standardContextual"/>
        </w:rPr>
        <w:t>5</w:t>
      </w:r>
      <w:r w:rsidRPr="00974AC8">
        <w:rPr>
          <w:rFonts w:ascii="Calibri" w:cs="Calibri" w:eastAsia="Calibri" w:hAnsi="Calibri"/>
          <w14:ligatures w14:val="standardContextual"/>
        </w:rPr>
        <w:t xml:space="preserve"> du présent accord. </w:t>
      </w:r>
    </w:p>
    <w:p w14:paraId="07844025" w14:textId="77777777" w:rsidP="007B0B93" w:rsidR="007B0B93" w:rsidRDefault="007B0B93" w:rsidRPr="00974AC8">
      <w:pPr>
        <w:rPr>
          <w:rFonts w:ascii="Calibri" w:cs="Calibri" w:eastAsia="Calibri" w:hAnsi="Calibri"/>
          <w:b/>
          <w:bCs/>
          <w:u w:val="single"/>
          <w14:ligatures w14:val="standardContextual"/>
        </w:rPr>
      </w:pPr>
    </w:p>
    <w:p w14:paraId="779D7ACB" w14:textId="77777777" w:rsidP="007B0B93" w:rsidR="007B0B93" w:rsidRDefault="007B0B93" w:rsidRPr="00974AC8">
      <w:pPr>
        <w:rPr>
          <w:rFonts w:ascii="Calibri" w:cs="Calibri" w:eastAsia="Calibri" w:hAnsi="Calibri"/>
          <w:sz w:val="24"/>
          <w:szCs w:val="24"/>
          <w14:ligatures w14:val="standardContextual"/>
        </w:rPr>
      </w:pPr>
      <w:r w:rsidRPr="004A3E4A">
        <w:rPr>
          <w:rFonts w:ascii="Calibri" w:cs="Calibri" w:eastAsia="Calibri" w:hAnsi="Calibri"/>
          <w:b/>
          <w:bCs/>
          <w:sz w:val="24"/>
          <w:szCs w:val="24"/>
          <w:u w:val="single"/>
          <w14:ligatures w14:val="standardContextual"/>
        </w:rPr>
        <w:t xml:space="preserve">ARTICLE 3 - </w:t>
      </w:r>
      <w:r w:rsidRPr="00974AC8">
        <w:rPr>
          <w:rFonts w:ascii="Calibri" w:cs="Calibri" w:eastAsia="Calibri" w:hAnsi="Calibri"/>
          <w:b/>
          <w:bCs/>
          <w:sz w:val="24"/>
          <w:szCs w:val="24"/>
          <w:u w:val="single"/>
          <w14:ligatures w14:val="standardContextual"/>
        </w:rPr>
        <w:t>Congé avortement</w:t>
      </w:r>
    </w:p>
    <w:p w14:paraId="6F7CB627" w14:textId="77777777" w:rsidP="007B0B93" w:rsidR="007B0B93" w:rsidRDefault="007B0B93" w:rsidRPr="00974AC8">
      <w:pPr>
        <w:rPr>
          <w:rFonts w:ascii="Calibri" w:cs="Calibri" w:eastAsia="Calibri" w:hAnsi="Calibri"/>
          <w14:ligatures w14:val="standardContextual"/>
        </w:rPr>
      </w:pPr>
    </w:p>
    <w:p w14:paraId="1E64F27A" w14:textId="77777777" w:rsidP="007B0B93" w:rsidR="007B0B93" w:rsidRDefault="007B0B93" w:rsidRPr="00974AC8">
      <w:pPr>
        <w:jc w:val="both"/>
        <w:rPr>
          <w:rFonts w:ascii="Calibri" w:cs="Calibri" w:eastAsia="Calibri" w:hAnsi="Calibri"/>
          <w14:ligatures w14:val="standardContextual"/>
        </w:rPr>
      </w:pPr>
      <w:r w:rsidRPr="00974AC8">
        <w:rPr>
          <w:rFonts w:ascii="Calibri" w:cs="Calibri" w:eastAsia="Calibri" w:hAnsi="Calibri"/>
          <w14:ligatures w14:val="standardContextual"/>
        </w:rPr>
        <w:t>Les Parties conviennent d’instaurer un congé de trois (3) jours maximum par an, sans condition d’ancienneté, non déductibles des congés et n’entrainant aucune réduction de salaire dans toute hypothèse d’interruption volontaire de grossesse.</w:t>
      </w:r>
    </w:p>
    <w:p w14:paraId="21B6F2FC" w14:textId="77777777" w:rsidP="007B0B93" w:rsidR="007B0B93" w:rsidRDefault="007B0B93" w:rsidRPr="00974AC8">
      <w:pPr>
        <w:jc w:val="both"/>
        <w:rPr>
          <w:rFonts w:ascii="Calibri" w:cs="Calibri" w:eastAsia="Calibri" w:hAnsi="Calibri"/>
          <w14:ligatures w14:val="standardContextual"/>
        </w:rPr>
      </w:pPr>
    </w:p>
    <w:p w14:paraId="02947E06" w14:textId="77777777" w:rsidP="007B0B93" w:rsidR="007B0B93" w:rsidRDefault="007B0B93" w:rsidRPr="00974AC8">
      <w:pPr>
        <w:jc w:val="both"/>
        <w:rPr>
          <w:rFonts w:ascii="Calibri" w:cs="Calibri" w:eastAsia="Calibri" w:hAnsi="Calibri"/>
          <w14:ligatures w14:val="standardContextual"/>
        </w:rPr>
      </w:pPr>
      <w:r w:rsidRPr="00974AC8">
        <w:rPr>
          <w:rFonts w:ascii="Calibri" w:cs="Calibri" w:eastAsia="Calibri" w:hAnsi="Calibri"/>
          <w14:ligatures w14:val="standardContextual"/>
        </w:rPr>
        <w:t>Ce congé peut être accolé à un arrêt de travail pour maladie éventuellement prescrit.</w:t>
      </w:r>
    </w:p>
    <w:p w14:paraId="15B362CE" w14:textId="77777777" w:rsidP="007B0B93" w:rsidR="007B0B93" w:rsidRDefault="007B0B93" w:rsidRPr="00974AC8">
      <w:pPr>
        <w:jc w:val="both"/>
        <w:rPr>
          <w:rFonts w:ascii="Calibri" w:cs="Calibri" w:eastAsia="Calibri" w:hAnsi="Calibri"/>
          <w14:ligatures w14:val="standardContextual"/>
        </w:rPr>
      </w:pPr>
      <w:r w:rsidRPr="00974AC8">
        <w:rPr>
          <w:rFonts w:ascii="Calibri" w:cs="Calibri" w:eastAsia="Calibri" w:hAnsi="Calibri"/>
          <w14:ligatures w14:val="standardContextual"/>
        </w:rPr>
        <w:t>Ces absences n'entraînent aucune diminution de la rémunération mais ne pas sont assimilées à une période de travail effectif pour la détermination de la durée des congés payés ainsi que pour les droits légaux ou conventionnels acquis par la salariée au titre de son ancienneté dans l'Entreprise.</w:t>
      </w:r>
    </w:p>
    <w:p w14:paraId="1DE23C47" w14:textId="77777777" w:rsidP="007B0B93" w:rsidR="007B0B93" w:rsidRDefault="007B0B93" w:rsidRPr="00974AC8">
      <w:pPr>
        <w:jc w:val="both"/>
        <w:rPr>
          <w:rFonts w:ascii="Calibri" w:cs="Calibri" w:eastAsia="Calibri" w:hAnsi="Calibri"/>
          <w14:ligatures w14:val="standardContextual"/>
        </w:rPr>
      </w:pPr>
    </w:p>
    <w:p w14:paraId="0B2F2632" w14:textId="77777777" w:rsidP="007B0B93" w:rsidR="007B0B93" w:rsidRDefault="007B0B93" w:rsidRPr="00974AC8">
      <w:pPr>
        <w:jc w:val="both"/>
        <w:rPr>
          <w:rFonts w:ascii="Calibri" w:cs="Calibri" w:eastAsia="Calibri" w:hAnsi="Calibri"/>
          <w14:ligatures w14:val="standardContextual"/>
        </w:rPr>
      </w:pPr>
      <w:r w:rsidRPr="00974AC8">
        <w:rPr>
          <w:rFonts w:ascii="Calibri" w:cs="Calibri" w:eastAsia="Calibri" w:hAnsi="Calibri"/>
          <w14:ligatures w14:val="standardContextual"/>
        </w:rPr>
        <w:t>Les conditions de justificatifs sont détaillées à l’article</w:t>
      </w:r>
      <w:r w:rsidRPr="004A3E4A">
        <w:rPr>
          <w:rFonts w:ascii="Calibri" w:cs="Calibri" w:eastAsia="Calibri" w:hAnsi="Calibri"/>
          <w14:ligatures w14:val="standardContextual"/>
        </w:rPr>
        <w:t xml:space="preserve"> 5</w:t>
      </w:r>
      <w:r w:rsidRPr="00974AC8">
        <w:rPr>
          <w:rFonts w:ascii="Calibri" w:cs="Calibri" w:eastAsia="Calibri" w:hAnsi="Calibri"/>
          <w14:ligatures w14:val="standardContextual"/>
        </w:rPr>
        <w:t xml:space="preserve"> du présent accord. </w:t>
      </w:r>
    </w:p>
    <w:p w14:paraId="2AD8FAB2" w14:textId="77777777" w:rsidP="007B0B93" w:rsidR="007B0B93" w:rsidRDefault="007B0B93" w:rsidRPr="00974AC8">
      <w:pPr>
        <w:rPr>
          <w:rFonts w:ascii="Calibri" w:cs="Calibri" w:eastAsia="Calibri" w:hAnsi="Calibri"/>
          <w14:ligatures w14:val="standardContextual"/>
        </w:rPr>
      </w:pPr>
    </w:p>
    <w:p w14:paraId="611650C9" w14:textId="77777777" w:rsidP="007B0B93" w:rsidR="007B0B93" w:rsidRDefault="007B0B93" w:rsidRPr="00974AC8">
      <w:pPr>
        <w:rPr>
          <w:rFonts w:ascii="Calibri" w:cs="Calibri" w:eastAsia="Calibri" w:hAnsi="Calibri"/>
          <w:b/>
          <w:bCs/>
          <w:sz w:val="24"/>
          <w:szCs w:val="24"/>
          <w:u w:val="single"/>
          <w14:ligatures w14:val="standardContextual"/>
        </w:rPr>
      </w:pPr>
      <w:r w:rsidRPr="004A3E4A">
        <w:rPr>
          <w:rFonts w:ascii="Calibri" w:cs="Calibri" w:eastAsia="Calibri" w:hAnsi="Calibri"/>
          <w:b/>
          <w:bCs/>
          <w:sz w:val="24"/>
          <w:szCs w:val="24"/>
          <w:u w:val="single"/>
          <w14:ligatures w14:val="standardContextual"/>
        </w:rPr>
        <w:t xml:space="preserve">ARTICLE 4 - </w:t>
      </w:r>
      <w:r w:rsidRPr="00974AC8">
        <w:rPr>
          <w:rFonts w:ascii="Calibri" w:cs="Calibri" w:eastAsia="Calibri" w:hAnsi="Calibri"/>
          <w:b/>
          <w:bCs/>
          <w:sz w:val="24"/>
          <w:szCs w:val="24"/>
          <w:u w:val="single"/>
          <w14:ligatures w14:val="standardContextual"/>
        </w:rPr>
        <w:t>Congé fausse couche</w:t>
      </w:r>
    </w:p>
    <w:p w14:paraId="30260BDB" w14:textId="77777777" w:rsidP="007B0B93" w:rsidR="007B0B93" w:rsidRDefault="007B0B93" w:rsidRPr="00974AC8">
      <w:pPr>
        <w:rPr>
          <w:rFonts w:ascii="Calibri" w:cs="Calibri" w:eastAsia="Calibri" w:hAnsi="Calibri"/>
          <w14:ligatures w14:val="standardContextual"/>
        </w:rPr>
      </w:pPr>
    </w:p>
    <w:p w14:paraId="3EA1AC6C" w14:textId="77777777" w:rsidP="007B0B93" w:rsidR="007B0B93" w:rsidRDefault="007B0B93" w:rsidRPr="00974AC8">
      <w:pPr>
        <w:jc w:val="both"/>
        <w:rPr>
          <w:rFonts w:ascii="Calibri" w:cs="Calibri" w:eastAsia="Calibri" w:hAnsi="Calibri"/>
          <w14:ligatures w14:val="standardContextual"/>
        </w:rPr>
      </w:pPr>
      <w:r w:rsidRPr="00974AC8">
        <w:rPr>
          <w:rFonts w:ascii="Calibri" w:cs="Calibri" w:eastAsia="Calibri" w:hAnsi="Calibri"/>
          <w14:ligatures w14:val="standardContextual"/>
        </w:rPr>
        <w:t>Conscients également des difficultés que traversent des collaboratrices ayant subi une fausse couche</w:t>
      </w:r>
      <w:r>
        <w:rPr>
          <w:rFonts w:ascii="Calibri" w:cs="Calibri" w:eastAsia="Calibri" w:hAnsi="Calibri"/>
          <w14:ligatures w14:val="standardContextual"/>
        </w:rPr>
        <w:t xml:space="preserve">, </w:t>
      </w:r>
      <w:r w:rsidRPr="00974AC8">
        <w:rPr>
          <w:rFonts w:ascii="Calibri" w:cs="Calibri" w:eastAsia="Calibri" w:hAnsi="Calibri"/>
          <w14:ligatures w14:val="standardContextual"/>
        </w:rPr>
        <w:t>les Parties conviennent d’instaurer un congé de trois (3) jours maximum par an, sans condition d’ancienneté, non déductibles des congés et n’entrainant aucune réduction de salaire aux femmes concernées afin de les soutenir dans ce moment difficile.</w:t>
      </w:r>
    </w:p>
    <w:p w14:paraId="5B60793C" w14:textId="77777777" w:rsidP="007B0B93" w:rsidR="007B0B93" w:rsidRDefault="007B0B93" w:rsidRPr="00974AC8">
      <w:pPr>
        <w:jc w:val="both"/>
        <w:rPr>
          <w:rFonts w:ascii="Calibri" w:cs="Calibri" w:eastAsia="Calibri" w:hAnsi="Calibri"/>
          <w14:ligatures w14:val="standardContextual"/>
        </w:rPr>
      </w:pPr>
    </w:p>
    <w:p w14:paraId="1F17D003" w14:textId="77777777" w:rsidP="007B0B93" w:rsidR="007B0B93" w:rsidRDefault="007B0B93" w:rsidRPr="00974AC8">
      <w:pPr>
        <w:jc w:val="both"/>
        <w:rPr>
          <w:rFonts w:ascii="Calibri" w:cs="Calibri" w:eastAsia="Calibri" w:hAnsi="Calibri"/>
          <w14:ligatures w14:val="standardContextual"/>
        </w:rPr>
      </w:pPr>
      <w:r w:rsidRPr="00974AC8">
        <w:rPr>
          <w:rFonts w:ascii="Calibri" w:cs="Calibri" w:eastAsia="Calibri" w:hAnsi="Calibri"/>
          <w14:ligatures w14:val="standardContextual"/>
        </w:rPr>
        <w:t>Ce congé peut être accolé à un arrêt de travail pour maladie éventuellement prescrit.</w:t>
      </w:r>
    </w:p>
    <w:p w14:paraId="6F93B510" w14:textId="77777777" w:rsidP="007B0B93" w:rsidR="007B0B93" w:rsidRDefault="007B0B93" w:rsidRPr="00974AC8">
      <w:pPr>
        <w:jc w:val="both"/>
        <w:rPr>
          <w:rFonts w:ascii="Calibri" w:cs="Calibri" w:eastAsia="Calibri" w:hAnsi="Calibri"/>
          <w14:ligatures w14:val="standardContextual"/>
        </w:rPr>
      </w:pPr>
    </w:p>
    <w:p w14:paraId="10962CF0" w14:textId="77777777" w:rsidP="007B0B93" w:rsidR="007B0B93" w:rsidRDefault="007B0B93" w:rsidRPr="00974AC8">
      <w:pPr>
        <w:jc w:val="both"/>
        <w:rPr>
          <w:rFonts w:ascii="Calibri" w:cs="Calibri" w:eastAsia="Calibri" w:hAnsi="Calibri"/>
          <w14:ligatures w14:val="standardContextual"/>
        </w:rPr>
      </w:pPr>
      <w:r w:rsidRPr="00974AC8">
        <w:rPr>
          <w:rFonts w:ascii="Calibri" w:cs="Calibri" w:eastAsia="Calibri" w:hAnsi="Calibri"/>
          <w14:ligatures w14:val="standardContextual"/>
        </w:rPr>
        <w:t>Ces absences n'entraînent aucune diminution de la rémunération mais ne pas sont assimilées à une période de travail effectif pour la détermination de la durée des congés payés ainsi que pour les droits légaux ou conventionnels acquis par la salariée au titre de son ancienneté dans l'Entreprise.</w:t>
      </w:r>
    </w:p>
    <w:p w14:paraId="6C46AC0E" w14:textId="77777777" w:rsidP="007B0B93" w:rsidR="007B0B93" w:rsidRDefault="007B0B93" w:rsidRPr="00974AC8">
      <w:pPr>
        <w:jc w:val="both"/>
        <w:rPr>
          <w:rFonts w:ascii="Calibri" w:cs="Calibri" w:eastAsia="Calibri" w:hAnsi="Calibri"/>
          <w14:ligatures w14:val="standardContextual"/>
        </w:rPr>
      </w:pPr>
    </w:p>
    <w:p w14:paraId="6E43901E" w14:textId="77777777" w:rsidP="007B0B93" w:rsidR="007B0B93" w:rsidRDefault="007B0B93">
      <w:pPr>
        <w:jc w:val="both"/>
        <w:rPr>
          <w:rFonts w:ascii="Calibri" w:cs="Calibri" w:eastAsia="Calibri" w:hAnsi="Calibri"/>
          <w14:ligatures w14:val="standardContextual"/>
        </w:rPr>
      </w:pPr>
      <w:r w:rsidRPr="00974AC8">
        <w:rPr>
          <w:rFonts w:ascii="Calibri" w:cs="Calibri" w:eastAsia="Calibri" w:hAnsi="Calibri"/>
          <w14:ligatures w14:val="standardContextual"/>
        </w:rPr>
        <w:t xml:space="preserve">Les conditions de justificatifs sont détaillées à l’article </w:t>
      </w:r>
      <w:r w:rsidRPr="004A3E4A">
        <w:rPr>
          <w:rFonts w:ascii="Calibri" w:cs="Calibri" w:eastAsia="Calibri" w:hAnsi="Calibri"/>
          <w14:ligatures w14:val="standardContextual"/>
        </w:rPr>
        <w:t xml:space="preserve">5 </w:t>
      </w:r>
      <w:r w:rsidRPr="00974AC8">
        <w:rPr>
          <w:rFonts w:ascii="Calibri" w:cs="Calibri" w:eastAsia="Calibri" w:hAnsi="Calibri"/>
          <w14:ligatures w14:val="standardContextual"/>
        </w:rPr>
        <w:t>du présent accord. </w:t>
      </w:r>
    </w:p>
    <w:p w14:paraId="30FCB2A1" w14:textId="77777777" w:rsidP="007B0B93" w:rsidR="007B0B93" w:rsidRDefault="007B0B93">
      <w:pPr>
        <w:jc w:val="both"/>
        <w:rPr>
          <w:rFonts w:ascii="Calibri" w:cs="Calibri" w:eastAsia="Calibri" w:hAnsi="Calibri"/>
          <w14:ligatures w14:val="standardContextual"/>
        </w:rPr>
      </w:pPr>
    </w:p>
    <w:p w14:paraId="06A10D88" w14:textId="77777777" w:rsidP="007B0B93" w:rsidR="007B0B93" w:rsidRDefault="007B0B93">
      <w:pPr>
        <w:jc w:val="both"/>
        <w:rPr>
          <w:rFonts w:ascii="Calibri" w:cs="Calibri" w:eastAsia="Calibri" w:hAnsi="Calibri"/>
          <w14:ligatures w14:val="standardContextual"/>
        </w:rPr>
      </w:pPr>
    </w:p>
    <w:p w14:paraId="695D9B55" w14:textId="77777777" w:rsidP="007B0B93" w:rsidR="007B0B93" w:rsidRDefault="007B0B93" w:rsidRPr="00974AC8">
      <w:pPr>
        <w:rPr>
          <w:rFonts w:ascii="Calibri" w:cs="Calibri" w:eastAsia="Calibri" w:hAnsi="Calibri"/>
          <w:b/>
          <w:bCs/>
          <w:sz w:val="24"/>
          <w:szCs w:val="24"/>
          <w:u w:val="single"/>
          <w14:ligatures w14:val="standardContextual"/>
        </w:rPr>
      </w:pPr>
      <w:r w:rsidRPr="004A3E4A">
        <w:rPr>
          <w:rFonts w:ascii="Calibri" w:cs="Calibri" w:eastAsia="Calibri" w:hAnsi="Calibri"/>
          <w:b/>
          <w:bCs/>
          <w:sz w:val="24"/>
          <w:szCs w:val="24"/>
          <w:u w:val="single"/>
          <w14:ligatures w14:val="standardContextual"/>
        </w:rPr>
        <w:t xml:space="preserve">ARTICLE </w:t>
      </w:r>
      <w:r>
        <w:rPr>
          <w:rFonts w:ascii="Calibri" w:cs="Calibri" w:eastAsia="Calibri" w:hAnsi="Calibri"/>
          <w:b/>
          <w:bCs/>
          <w:sz w:val="24"/>
          <w:szCs w:val="24"/>
          <w:u w:val="single"/>
          <w14:ligatures w14:val="standardContextual"/>
        </w:rPr>
        <w:t>5</w:t>
      </w:r>
      <w:r w:rsidRPr="004A3E4A">
        <w:rPr>
          <w:rFonts w:ascii="Calibri" w:cs="Calibri" w:eastAsia="Calibri" w:hAnsi="Calibri"/>
          <w:b/>
          <w:bCs/>
          <w:sz w:val="24"/>
          <w:szCs w:val="24"/>
          <w:u w:val="single"/>
          <w14:ligatures w14:val="standardContextual"/>
        </w:rPr>
        <w:t xml:space="preserve"> </w:t>
      </w:r>
      <w:r>
        <w:rPr>
          <w:rFonts w:ascii="Calibri" w:cs="Calibri" w:eastAsia="Calibri" w:hAnsi="Calibri"/>
          <w:b/>
          <w:bCs/>
          <w:sz w:val="24"/>
          <w:szCs w:val="24"/>
          <w:u w:val="single"/>
          <w14:ligatures w14:val="standardContextual"/>
        </w:rPr>
        <w:t>–</w:t>
      </w:r>
      <w:r w:rsidRPr="004A3E4A">
        <w:rPr>
          <w:rFonts w:ascii="Calibri" w:cs="Calibri" w:eastAsia="Calibri" w:hAnsi="Calibri"/>
          <w:b/>
          <w:bCs/>
          <w:sz w:val="24"/>
          <w:szCs w:val="24"/>
          <w:u w:val="single"/>
          <w14:ligatures w14:val="standardContextual"/>
        </w:rPr>
        <w:t xml:space="preserve"> </w:t>
      </w:r>
      <w:r>
        <w:rPr>
          <w:rFonts w:ascii="Calibri" w:cs="Calibri" w:eastAsia="Calibri" w:hAnsi="Calibri"/>
          <w:b/>
          <w:bCs/>
          <w:sz w:val="24"/>
          <w:szCs w:val="24"/>
          <w:u w:val="single"/>
          <w14:ligatures w14:val="standardContextual"/>
        </w:rPr>
        <w:t>Justificatifs et prise</w:t>
      </w:r>
    </w:p>
    <w:p w14:paraId="471D0BB5" w14:textId="77777777" w:rsidP="007B0B93" w:rsidR="007B0B93" w:rsidRDefault="007B0B93" w:rsidRPr="00974AC8">
      <w:pPr>
        <w:rPr>
          <w:rFonts w:ascii="Calibri" w:cs="Calibri" w:eastAsia="Calibri" w:hAnsi="Calibri"/>
          <w14:ligatures w14:val="standardContextual"/>
        </w:rPr>
      </w:pPr>
    </w:p>
    <w:p w14:paraId="4056F3F3" w14:textId="77777777" w:rsidP="007B0B93" w:rsidR="007B0B93" w:rsidRDefault="007B0B93">
      <w:pPr>
        <w:jc w:val="both"/>
        <w:rPr>
          <w:rFonts w:ascii="Calibri" w:cs="Calibri" w:eastAsia="Calibri" w:hAnsi="Calibri"/>
          <w14:ligatures w14:val="standardContextual"/>
        </w:rPr>
      </w:pPr>
      <w:r>
        <w:rPr>
          <w:rFonts w:ascii="Calibri" w:cs="Calibri" w:eastAsia="Calibri" w:hAnsi="Calibri"/>
          <w14:ligatures w14:val="standardContextual"/>
        </w:rPr>
        <w:t xml:space="preserve">Compte tenu de la spécificité des congés accordés au titre du présent accord, la société impose la production de justificatifs idoines pour bénéficier des jours susmentionnés dans le présent acte. </w:t>
      </w:r>
    </w:p>
    <w:p w14:paraId="62D978E8" w14:textId="77777777" w:rsidP="007B0B93" w:rsidR="007B0B93" w:rsidRDefault="007B0B93">
      <w:pPr>
        <w:jc w:val="both"/>
        <w:rPr>
          <w:rFonts w:ascii="Calibri" w:cs="Calibri" w:eastAsia="Calibri" w:hAnsi="Calibri"/>
          <w14:ligatures w14:val="standardContextual"/>
        </w:rPr>
      </w:pPr>
    </w:p>
    <w:p w14:paraId="4C004EFF" w14:textId="77777777" w:rsidP="007B0B93" w:rsidR="007B0B93" w:rsidRDefault="007B0B93">
      <w:pPr>
        <w:jc w:val="both"/>
        <w:rPr>
          <w:rFonts w:ascii="Calibri" w:cs="Calibri" w:eastAsia="Calibri" w:hAnsi="Calibri"/>
          <w14:ligatures w14:val="standardContextual"/>
        </w:rPr>
      </w:pPr>
      <w:r>
        <w:rPr>
          <w:rFonts w:ascii="Calibri" w:cs="Calibri" w:eastAsia="Calibri" w:hAnsi="Calibri"/>
          <w14:ligatures w14:val="standardContextual"/>
        </w:rPr>
        <w:t xml:space="preserve">Ainsi, les justificatifs suivants seront demandés lors des différents congés selon les délais indiqués : </w:t>
      </w:r>
    </w:p>
    <w:p w14:paraId="42E369FF" w14:textId="77777777" w:rsidP="007B0B93" w:rsidR="007B0B93" w:rsidRDefault="007B0B93">
      <w:pPr>
        <w:jc w:val="both"/>
        <w:rPr>
          <w:rFonts w:ascii="Calibri" w:cs="Calibri" w:eastAsia="Calibri" w:hAnsi="Calibri"/>
          <w14:ligatures w14:val="standardContextual"/>
        </w:rPr>
      </w:pPr>
    </w:p>
    <w:p w14:paraId="296641EA" w14:textId="77777777" w:rsidP="007B0B93" w:rsidR="007B0B93" w:rsidRDefault="007B0B93">
      <w:pPr>
        <w:jc w:val="both"/>
        <w:rPr>
          <w:rFonts w:ascii="Calibri" w:cs="Calibri" w:eastAsia="Calibri" w:hAnsi="Calibri"/>
          <w14:ligatures w14:val="standardContextual"/>
        </w:rPr>
      </w:pPr>
      <w:r>
        <w:rPr>
          <w:rFonts w:ascii="Calibri" w:cs="Calibri" w:eastAsia="Calibri" w:hAnsi="Calibri"/>
          <w14:ligatures w14:val="standardContextual"/>
        </w:rPr>
        <w:t xml:space="preserve">- Congé endométriose : reconnaissance qualité travailleur handicapé (au moment de la survenance) ; </w:t>
      </w:r>
    </w:p>
    <w:p w14:paraId="52FB8586" w14:textId="77777777" w:rsidP="007B0B93" w:rsidR="007B0B93" w:rsidRDefault="007B0B93">
      <w:pPr>
        <w:jc w:val="both"/>
        <w:rPr>
          <w:rFonts w:ascii="Calibri" w:cs="Calibri" w:eastAsia="Calibri" w:hAnsi="Calibri"/>
          <w14:ligatures w14:val="standardContextual"/>
        </w:rPr>
      </w:pPr>
      <w:r>
        <w:rPr>
          <w:rFonts w:ascii="Calibri" w:cs="Calibri" w:eastAsia="Calibri" w:hAnsi="Calibri"/>
          <w14:ligatures w14:val="standardContextual"/>
        </w:rPr>
        <w:t xml:space="preserve">- Congé PMA : certificat médical (dans un délai de 15 jours à compter d l’acte) ; </w:t>
      </w:r>
    </w:p>
    <w:p w14:paraId="163E4584" w14:textId="77777777" w:rsidP="007B0B93" w:rsidR="007B0B93" w:rsidRDefault="007B0B93">
      <w:pPr>
        <w:jc w:val="both"/>
        <w:rPr>
          <w:rFonts w:ascii="Calibri" w:cs="Calibri" w:eastAsia="Calibri" w:hAnsi="Calibri"/>
          <w14:ligatures w14:val="standardContextual"/>
        </w:rPr>
      </w:pPr>
      <w:r>
        <w:rPr>
          <w:rFonts w:ascii="Calibri" w:cs="Calibri" w:eastAsia="Calibri" w:hAnsi="Calibri"/>
          <w14:ligatures w14:val="standardContextual"/>
        </w:rPr>
        <w:t xml:space="preserve">- Congé avortement : certificat médical (dans un délai de 15 jours à compter d l’acte) ; </w:t>
      </w:r>
    </w:p>
    <w:p w14:paraId="6DFD98A4" w14:textId="77777777" w:rsidP="007B0B93" w:rsidR="007B0B93" w:rsidRDefault="007B0B93">
      <w:pPr>
        <w:jc w:val="both"/>
        <w:rPr>
          <w:rFonts w:ascii="Calibri" w:cs="Calibri" w:eastAsia="Calibri" w:hAnsi="Calibri"/>
          <w14:ligatures w14:val="standardContextual"/>
        </w:rPr>
      </w:pPr>
      <w:r>
        <w:rPr>
          <w:rFonts w:ascii="Calibri" w:cs="Calibri" w:eastAsia="Calibri" w:hAnsi="Calibri"/>
          <w14:ligatures w14:val="standardContextual"/>
        </w:rPr>
        <w:t>- Congé fausse couche : certificat médical (dans un délai de 15 jours à compter d l’acte).</w:t>
      </w:r>
    </w:p>
    <w:p w14:paraId="34D5B48E" w14:textId="77777777" w:rsidP="007B0B93" w:rsidR="007B0B93" w:rsidRDefault="007B0B93">
      <w:pPr>
        <w:jc w:val="both"/>
        <w:rPr>
          <w:rFonts w:ascii="Calibri" w:cs="Calibri" w:eastAsia="Calibri" w:hAnsi="Calibri"/>
          <w14:ligatures w14:val="standardContextual"/>
        </w:rPr>
      </w:pPr>
    </w:p>
    <w:p w14:paraId="057C717F" w14:textId="77777777" w:rsidP="007B0B93" w:rsidR="007B0B93" w:rsidRDefault="007B0B93" w:rsidRPr="00974AC8">
      <w:pPr>
        <w:jc w:val="both"/>
        <w:rPr>
          <w:rFonts w:ascii="Calibri" w:cs="Calibri" w:eastAsia="Calibri" w:hAnsi="Calibri"/>
          <w14:ligatures w14:val="standardContextual"/>
        </w:rPr>
      </w:pPr>
      <w:r>
        <w:rPr>
          <w:rFonts w:ascii="Calibri" w:cs="Calibri" w:eastAsia="Calibri" w:hAnsi="Calibri"/>
          <w14:ligatures w14:val="standardContextual"/>
        </w:rPr>
        <w:t xml:space="preserve">La prise des congés mentionnés dans le présent accord doit intervenir au moment de l’évènement et ne peut bénéficier d’un quelconque report. La prise des congés sera effectuée selon le principe en vigueur au sein de la société au moment du congé (jours ouvrables ou jours ouvrés). </w:t>
      </w:r>
    </w:p>
    <w:p w14:paraId="121ADAAC" w14:textId="77777777" w:rsidP="007B0B93" w:rsidR="007B0B93" w:rsidRDefault="007B0B93" w:rsidRPr="00946FA6">
      <w:pPr>
        <w:tabs>
          <w:tab w:pos="9204" w:val="left"/>
        </w:tabs>
        <w:jc w:val="both"/>
        <w:rPr>
          <w:rFonts w:cstheme="minorHAnsi"/>
          <w:bCs/>
          <w:color w:themeColor="text1" w:val="000000"/>
        </w:rPr>
      </w:pPr>
    </w:p>
    <w:p w14:paraId="2B43C18B" w14:textId="77777777" w:rsidP="007B0B93" w:rsidR="007B0B93" w:rsidRDefault="007B0B93" w:rsidRPr="00946FA6">
      <w:pPr>
        <w:tabs>
          <w:tab w:pos="9204" w:val="left"/>
        </w:tabs>
        <w:jc w:val="both"/>
        <w:rPr>
          <w:rFonts w:cstheme="minorHAnsi"/>
          <w:b/>
          <w:bCs/>
          <w:color w:themeColor="text1" w:val="000000"/>
          <w:sz w:val="24"/>
          <w:szCs w:val="24"/>
          <w:u w:val="single"/>
        </w:rPr>
      </w:pPr>
      <w:r w:rsidRPr="00946FA6">
        <w:rPr>
          <w:rFonts w:cstheme="minorHAnsi"/>
          <w:b/>
          <w:bCs/>
          <w:color w:themeColor="text1" w:val="000000"/>
          <w:sz w:val="24"/>
          <w:szCs w:val="24"/>
          <w:u w:val="single"/>
        </w:rPr>
        <w:t>A</w:t>
      </w:r>
      <w:r>
        <w:rPr>
          <w:rFonts w:cstheme="minorHAnsi"/>
          <w:b/>
          <w:bCs/>
          <w:color w:themeColor="text1" w:val="000000"/>
          <w:sz w:val="24"/>
          <w:szCs w:val="24"/>
          <w:u w:val="single"/>
        </w:rPr>
        <w:t>RTICLE</w:t>
      </w:r>
      <w:r w:rsidRPr="00946FA6">
        <w:rPr>
          <w:rFonts w:cstheme="minorHAnsi"/>
          <w:b/>
          <w:bCs/>
          <w:color w:themeColor="text1" w:val="000000"/>
          <w:sz w:val="24"/>
          <w:szCs w:val="24"/>
          <w:u w:val="single"/>
        </w:rPr>
        <w:t xml:space="preserve"> </w:t>
      </w:r>
      <w:r>
        <w:rPr>
          <w:rFonts w:cstheme="minorHAnsi"/>
          <w:b/>
          <w:bCs/>
          <w:color w:themeColor="text1" w:val="000000"/>
          <w:sz w:val="24"/>
          <w:szCs w:val="24"/>
          <w:u w:val="single"/>
        </w:rPr>
        <w:t>6</w:t>
      </w:r>
      <w:r w:rsidRPr="00946FA6">
        <w:rPr>
          <w:rFonts w:cstheme="minorHAnsi"/>
          <w:b/>
          <w:bCs/>
          <w:color w:themeColor="text1" w:val="000000"/>
          <w:sz w:val="24"/>
          <w:szCs w:val="24"/>
          <w:u w:val="single"/>
        </w:rPr>
        <w:t xml:space="preserve"> – Prise d’effet et durée de l’accord</w:t>
      </w:r>
    </w:p>
    <w:p w14:paraId="6164A8CB" w14:textId="77777777" w:rsidP="007B0B93" w:rsidR="007B0B93" w:rsidRDefault="007B0B93" w:rsidRPr="00946FA6">
      <w:pPr>
        <w:tabs>
          <w:tab w:pos="9204" w:val="left"/>
        </w:tabs>
        <w:ind w:left="567"/>
        <w:jc w:val="both"/>
        <w:rPr>
          <w:rFonts w:cstheme="minorHAnsi"/>
          <w:bCs/>
          <w:color w:themeColor="text1" w:val="000000"/>
        </w:rPr>
      </w:pPr>
    </w:p>
    <w:p w14:paraId="6DAC4F88" w14:textId="77777777" w:rsidP="007B0B93" w:rsidR="007B0B93" w:rsidRDefault="007B0B93" w:rsidRPr="00946FA6">
      <w:pPr>
        <w:tabs>
          <w:tab w:pos="9204" w:val="left"/>
        </w:tabs>
        <w:jc w:val="both"/>
        <w:rPr>
          <w:rFonts w:cstheme="minorHAnsi"/>
          <w:bCs/>
          <w:color w:themeColor="text1" w:val="000000"/>
        </w:rPr>
      </w:pPr>
      <w:r w:rsidRPr="00946FA6">
        <w:rPr>
          <w:rFonts w:cstheme="minorHAnsi"/>
          <w:bCs/>
          <w:color w:themeColor="text1" w:val="000000"/>
        </w:rPr>
        <w:t>Le présent accord prend effet le 1</w:t>
      </w:r>
      <w:r w:rsidRPr="00946FA6">
        <w:rPr>
          <w:rFonts w:cstheme="minorHAnsi"/>
          <w:bCs/>
          <w:color w:themeColor="text1" w:val="000000"/>
          <w:vertAlign w:val="superscript"/>
        </w:rPr>
        <w:t>er</w:t>
      </w:r>
      <w:r w:rsidRPr="00946FA6">
        <w:rPr>
          <w:rFonts w:cstheme="minorHAnsi"/>
          <w:bCs/>
          <w:color w:themeColor="text1" w:val="000000"/>
        </w:rPr>
        <w:t xml:space="preserve"> janvier 202</w:t>
      </w:r>
      <w:r>
        <w:rPr>
          <w:rFonts w:cstheme="minorHAnsi"/>
          <w:bCs/>
          <w:color w:themeColor="text1" w:val="000000"/>
        </w:rPr>
        <w:t>4</w:t>
      </w:r>
      <w:r w:rsidRPr="00946FA6">
        <w:rPr>
          <w:rFonts w:cstheme="minorHAnsi"/>
          <w:bCs/>
          <w:color w:themeColor="text1" w:val="000000"/>
        </w:rPr>
        <w:t xml:space="preserve">. Il est conclu pour une durée </w:t>
      </w:r>
      <w:r>
        <w:rPr>
          <w:rFonts w:cstheme="minorHAnsi"/>
          <w:bCs/>
          <w:color w:themeColor="text1" w:val="000000"/>
        </w:rPr>
        <w:t>in</w:t>
      </w:r>
      <w:r w:rsidRPr="00946FA6">
        <w:rPr>
          <w:rFonts w:cstheme="minorHAnsi"/>
          <w:bCs/>
          <w:color w:themeColor="text1" w:val="000000"/>
        </w:rPr>
        <w:t>déterminée</w:t>
      </w:r>
      <w:r>
        <w:rPr>
          <w:rFonts w:cstheme="minorHAnsi"/>
          <w:bCs/>
          <w:color w:themeColor="text1" w:val="000000"/>
        </w:rPr>
        <w:t>.</w:t>
      </w:r>
    </w:p>
    <w:p w14:paraId="067401CE" w14:textId="77777777" w:rsidP="007B0B93" w:rsidR="007B0B93" w:rsidRDefault="007B0B93" w:rsidRPr="00946FA6">
      <w:pPr>
        <w:tabs>
          <w:tab w:pos="9204" w:val="left"/>
        </w:tabs>
        <w:ind w:left="567"/>
        <w:jc w:val="both"/>
        <w:rPr>
          <w:rFonts w:cstheme="minorHAnsi"/>
          <w:bCs/>
          <w:color w:themeColor="text1" w:val="000000"/>
        </w:rPr>
      </w:pPr>
    </w:p>
    <w:p w14:paraId="2B75F6CE" w14:textId="77777777" w:rsidP="007B0B93" w:rsidR="007B0B93" w:rsidRDefault="007B0B93" w:rsidRPr="00946FA6">
      <w:pPr>
        <w:tabs>
          <w:tab w:pos="9204" w:val="left"/>
        </w:tabs>
        <w:ind w:hanging="567" w:left="567"/>
        <w:jc w:val="both"/>
        <w:rPr>
          <w:rFonts w:cstheme="minorHAnsi"/>
          <w:b/>
          <w:bCs/>
          <w:color w:themeColor="text1" w:val="000000"/>
          <w:sz w:val="24"/>
          <w:szCs w:val="24"/>
          <w:u w:val="single"/>
        </w:rPr>
      </w:pPr>
      <w:r w:rsidRPr="00946FA6">
        <w:rPr>
          <w:rFonts w:cstheme="minorHAnsi"/>
          <w:b/>
          <w:bCs/>
          <w:color w:themeColor="text1" w:val="000000"/>
          <w:sz w:val="24"/>
          <w:szCs w:val="24"/>
          <w:u w:val="single"/>
        </w:rPr>
        <w:t>A</w:t>
      </w:r>
      <w:r>
        <w:rPr>
          <w:rFonts w:cstheme="minorHAnsi"/>
          <w:b/>
          <w:bCs/>
          <w:color w:themeColor="text1" w:val="000000"/>
          <w:sz w:val="24"/>
          <w:szCs w:val="24"/>
          <w:u w:val="single"/>
        </w:rPr>
        <w:t>RTICLE</w:t>
      </w:r>
      <w:r w:rsidRPr="00946FA6">
        <w:rPr>
          <w:rFonts w:cstheme="minorHAnsi"/>
          <w:b/>
          <w:bCs/>
          <w:color w:themeColor="text1" w:val="000000"/>
          <w:sz w:val="24"/>
          <w:szCs w:val="24"/>
          <w:u w:val="single"/>
        </w:rPr>
        <w:t xml:space="preserve"> </w:t>
      </w:r>
      <w:r>
        <w:rPr>
          <w:rFonts w:cstheme="minorHAnsi"/>
          <w:b/>
          <w:bCs/>
          <w:color w:themeColor="text1" w:val="000000"/>
          <w:sz w:val="24"/>
          <w:szCs w:val="24"/>
          <w:u w:val="single"/>
        </w:rPr>
        <w:t>7</w:t>
      </w:r>
      <w:r w:rsidRPr="00946FA6">
        <w:rPr>
          <w:rFonts w:cstheme="minorHAnsi"/>
          <w:b/>
          <w:bCs/>
          <w:color w:themeColor="text1" w:val="000000"/>
          <w:sz w:val="24"/>
          <w:szCs w:val="24"/>
          <w:u w:val="single"/>
        </w:rPr>
        <w:t xml:space="preserve"> – Révision</w:t>
      </w:r>
      <w:r>
        <w:rPr>
          <w:rFonts w:cstheme="minorHAnsi"/>
          <w:b/>
          <w:bCs/>
          <w:color w:themeColor="text1" w:val="000000"/>
          <w:sz w:val="24"/>
          <w:szCs w:val="24"/>
          <w:u w:val="single"/>
        </w:rPr>
        <w:t xml:space="preserve"> et dénonciation de l’accord</w:t>
      </w:r>
    </w:p>
    <w:p w14:paraId="678A14CD" w14:textId="77777777" w:rsidP="007B0B93" w:rsidR="007B0B93" w:rsidRDefault="007B0B93" w:rsidRPr="00946FA6">
      <w:pPr>
        <w:tabs>
          <w:tab w:pos="9204" w:val="left"/>
        </w:tabs>
        <w:ind w:left="567"/>
        <w:jc w:val="both"/>
        <w:rPr>
          <w:rFonts w:cstheme="minorHAnsi"/>
          <w:bCs/>
          <w:color w:themeColor="text1" w:val="000000"/>
        </w:rPr>
      </w:pPr>
    </w:p>
    <w:p w14:paraId="374CDFC1" w14:textId="77777777" w:rsidP="007B0B93" w:rsidR="007B0B93" w:rsidRDefault="007B0B93">
      <w:pPr>
        <w:tabs>
          <w:tab w:pos="9204" w:val="left"/>
        </w:tabs>
        <w:jc w:val="both"/>
        <w:rPr>
          <w:rFonts w:cstheme="minorHAnsi"/>
          <w:bCs/>
          <w:color w:themeColor="text1" w:val="000000"/>
        </w:rPr>
      </w:pPr>
      <w:r w:rsidRPr="00946FA6">
        <w:rPr>
          <w:rFonts w:cstheme="minorHAnsi"/>
          <w:bCs/>
          <w:color w:themeColor="text1" w:val="000000"/>
        </w:rPr>
        <w:t>Conformément à l’article L.2261-7 et suivants du code du travail, les parties signataires du présent accord ont la faculté de le réviser. La demande de révision peut intervenir à tout moment, à l’initiative de l’une des parties signataires. Elle doit être notifiée par lettre recommandée avec avis de réception aux autres signataires ainsi qu’à l’ensemble des organisations syndicales représentatives non-signataires. Tout signataire introduisant une demande de révision doit l’accompagner d’un projet sur les points révisés. Toute modification du présent accord donnera lieu à l’établissement d’un avenant. Ce dernier sera soumis aux mêmes formalités de publicité et de dépôt que celles donnant lieu à la signature du présent accord. L’avenant de révision devra être signé par au moins l’une des organisations syndicales représentatives de salariés signataires de l’accord ou y ayant adhéré selon les dispositions légales en vigueur. L’avenant se substituera de plein droit aux dispositions du présent accord qu’il notifie, conformément aux dispositions légales.</w:t>
      </w:r>
    </w:p>
    <w:p w14:paraId="1B30BC71" w14:textId="77777777" w:rsidP="007B0B93" w:rsidR="007B0B93" w:rsidRDefault="007B0B93">
      <w:pPr>
        <w:tabs>
          <w:tab w:pos="9204" w:val="left"/>
        </w:tabs>
        <w:jc w:val="both"/>
        <w:rPr>
          <w:rFonts w:cstheme="minorHAnsi"/>
          <w:bCs/>
          <w:color w:themeColor="text1" w:val="000000"/>
        </w:rPr>
      </w:pPr>
    </w:p>
    <w:p w14:paraId="37B9FFE9" w14:textId="77777777" w:rsidP="007B0B93" w:rsidR="007B0B93" w:rsidRDefault="007B0B93" w:rsidRPr="00946FA6">
      <w:pPr>
        <w:tabs>
          <w:tab w:pos="9204" w:val="left"/>
        </w:tabs>
        <w:jc w:val="both"/>
        <w:rPr>
          <w:rFonts w:cstheme="minorHAnsi"/>
          <w:bCs/>
          <w:color w:themeColor="text1" w:val="000000"/>
        </w:rPr>
      </w:pPr>
      <w:r w:rsidRPr="0053657D">
        <w:rPr>
          <w:rFonts w:cstheme="minorHAnsi"/>
          <w:bCs/>
          <w:color w:themeColor="text1" w:val="000000"/>
        </w:rPr>
        <w:t>Le présent accord pourra être dénoncé selon les modalités fixées aux articles L. 2261-9 et suivants du Code du travail</w:t>
      </w:r>
      <w:r>
        <w:rPr>
          <w:rFonts w:cstheme="minorHAnsi"/>
          <w:bCs/>
          <w:color w:themeColor="text1" w:val="000000"/>
        </w:rPr>
        <w:t>.</w:t>
      </w:r>
    </w:p>
    <w:p w14:paraId="759B64B5" w14:textId="77777777" w:rsidP="007B0B93" w:rsidR="007B0B93" w:rsidRDefault="007B0B93">
      <w:pPr>
        <w:tabs>
          <w:tab w:pos="9204" w:val="left"/>
        </w:tabs>
        <w:jc w:val="both"/>
        <w:rPr>
          <w:rFonts w:cstheme="minorHAnsi"/>
          <w:bCs/>
          <w:color w:themeColor="text1" w:val="000000"/>
        </w:rPr>
      </w:pPr>
    </w:p>
    <w:p w14:paraId="2AE9E349" w14:textId="77777777" w:rsidP="007B0B93" w:rsidR="007B0B93" w:rsidRDefault="007B0B93">
      <w:pPr>
        <w:tabs>
          <w:tab w:pos="9204" w:val="left"/>
        </w:tabs>
        <w:jc w:val="both"/>
        <w:rPr>
          <w:rFonts w:cstheme="minorHAnsi"/>
          <w:bCs/>
          <w:color w:themeColor="text1" w:val="000000"/>
        </w:rPr>
      </w:pPr>
    </w:p>
    <w:p w14:paraId="36067752" w14:textId="77777777" w:rsidP="007B0B93" w:rsidR="007B0B93" w:rsidRDefault="007B0B93">
      <w:pPr>
        <w:tabs>
          <w:tab w:pos="9204" w:val="left"/>
        </w:tabs>
        <w:jc w:val="both"/>
        <w:rPr>
          <w:rFonts w:cstheme="minorHAnsi"/>
          <w:bCs/>
          <w:color w:themeColor="text1" w:val="000000"/>
        </w:rPr>
      </w:pPr>
    </w:p>
    <w:p w14:paraId="24A1439E" w14:textId="77777777" w:rsidP="007B0B93" w:rsidR="007B0B93" w:rsidRDefault="007B0B93" w:rsidRPr="00946FA6">
      <w:pPr>
        <w:tabs>
          <w:tab w:pos="9204" w:val="left"/>
        </w:tabs>
        <w:jc w:val="both"/>
        <w:rPr>
          <w:rFonts w:cstheme="minorHAnsi"/>
          <w:bCs/>
          <w:color w:themeColor="text1" w:val="000000"/>
        </w:rPr>
      </w:pPr>
    </w:p>
    <w:p w14:paraId="65737680" w14:textId="77777777" w:rsidP="007B0B93" w:rsidR="007B0B93" w:rsidRDefault="007B0B93" w:rsidRPr="00946FA6">
      <w:pPr>
        <w:tabs>
          <w:tab w:pos="9204" w:val="left"/>
        </w:tabs>
        <w:ind w:hanging="567" w:left="567"/>
        <w:jc w:val="both"/>
        <w:rPr>
          <w:rFonts w:cstheme="minorHAnsi"/>
          <w:b/>
          <w:bCs/>
          <w:color w:themeColor="text1" w:val="000000"/>
          <w:sz w:val="24"/>
          <w:szCs w:val="24"/>
          <w:u w:val="single"/>
        </w:rPr>
      </w:pPr>
      <w:r w:rsidRPr="00946FA6">
        <w:rPr>
          <w:rFonts w:cstheme="minorHAnsi"/>
          <w:b/>
          <w:bCs/>
          <w:color w:themeColor="text1" w:val="000000"/>
          <w:sz w:val="24"/>
          <w:szCs w:val="24"/>
          <w:u w:val="single"/>
        </w:rPr>
        <w:t>A</w:t>
      </w:r>
      <w:r>
        <w:rPr>
          <w:rFonts w:cstheme="minorHAnsi"/>
          <w:b/>
          <w:bCs/>
          <w:color w:themeColor="text1" w:val="000000"/>
          <w:sz w:val="24"/>
          <w:szCs w:val="24"/>
          <w:u w:val="single"/>
        </w:rPr>
        <w:t>RTICLE</w:t>
      </w:r>
      <w:r w:rsidRPr="00946FA6">
        <w:rPr>
          <w:rFonts w:cstheme="minorHAnsi"/>
          <w:b/>
          <w:bCs/>
          <w:color w:themeColor="text1" w:val="000000"/>
          <w:sz w:val="24"/>
          <w:szCs w:val="24"/>
          <w:u w:val="single"/>
        </w:rPr>
        <w:t xml:space="preserve"> </w:t>
      </w:r>
      <w:r>
        <w:rPr>
          <w:rFonts w:cstheme="minorHAnsi"/>
          <w:b/>
          <w:bCs/>
          <w:color w:themeColor="text1" w:val="000000"/>
          <w:sz w:val="24"/>
          <w:szCs w:val="24"/>
          <w:u w:val="single"/>
        </w:rPr>
        <w:t>8</w:t>
      </w:r>
      <w:r w:rsidRPr="00946FA6">
        <w:rPr>
          <w:rFonts w:cstheme="minorHAnsi"/>
          <w:b/>
          <w:bCs/>
          <w:color w:themeColor="text1" w:val="000000"/>
          <w:sz w:val="24"/>
          <w:szCs w:val="24"/>
          <w:u w:val="single"/>
        </w:rPr>
        <w:t xml:space="preserve"> – Dépôt de l’accord</w:t>
      </w:r>
    </w:p>
    <w:p w14:paraId="19960B5B" w14:textId="77777777" w:rsidP="007B0B93" w:rsidR="007B0B93" w:rsidRDefault="007B0B93" w:rsidRPr="00946FA6">
      <w:pPr>
        <w:tabs>
          <w:tab w:pos="9204" w:val="left"/>
        </w:tabs>
        <w:ind w:left="567"/>
        <w:jc w:val="both"/>
        <w:rPr>
          <w:rFonts w:cstheme="minorHAnsi"/>
          <w:b/>
          <w:bCs/>
          <w:color w:themeColor="text1" w:val="000000"/>
          <w:u w:val="single"/>
        </w:rPr>
      </w:pPr>
    </w:p>
    <w:p w14:paraId="2C3E6964" w14:textId="03CFDB1C" w:rsidP="007B0B93" w:rsidR="007B0B93" w:rsidRDefault="007B0B93" w:rsidRPr="0053657D">
      <w:pPr>
        <w:tabs>
          <w:tab w:pos="9204" w:val="left"/>
        </w:tabs>
        <w:jc w:val="both"/>
        <w:rPr>
          <w:rFonts w:cstheme="minorHAnsi"/>
          <w:bCs/>
          <w:color w:themeColor="text1" w:val="000000"/>
        </w:rPr>
      </w:pPr>
      <w:r w:rsidRPr="0053657D">
        <w:rPr>
          <w:rFonts w:cstheme="minorHAnsi"/>
          <w:bCs/>
          <w:color w:themeColor="text1" w:val="000000"/>
        </w:rPr>
        <w:t xml:space="preserve">Conformément à la loi, le présent procès-verbal d’accord est établi en </w:t>
      </w:r>
      <w:r w:rsidR="003077AB">
        <w:rPr>
          <w:rFonts w:cstheme="minorHAnsi"/>
          <w:bCs/>
          <w:color w:themeColor="text1" w:val="000000"/>
        </w:rPr>
        <w:t>4</w:t>
      </w:r>
      <w:r w:rsidRPr="0053657D">
        <w:rPr>
          <w:rFonts w:cstheme="minorHAnsi"/>
          <w:bCs/>
          <w:color w:themeColor="text1" w:val="000000"/>
        </w:rPr>
        <w:t xml:space="preserve"> exemplaires, pour remise à chaque délégation signataire et pour les dépôts suivants :</w:t>
      </w:r>
    </w:p>
    <w:p w14:paraId="715DF82B" w14:textId="77777777" w:rsidP="007B0B93" w:rsidR="007B0B93" w:rsidRDefault="007B0B93" w:rsidRPr="0053657D">
      <w:pPr>
        <w:tabs>
          <w:tab w:pos="9204" w:val="left"/>
        </w:tabs>
        <w:jc w:val="both"/>
        <w:rPr>
          <w:rFonts w:cstheme="minorHAnsi"/>
          <w:bCs/>
          <w:color w:themeColor="text1" w:val="000000"/>
        </w:rPr>
      </w:pPr>
    </w:p>
    <w:p w14:paraId="3D067777" w14:textId="77777777" w:rsidP="007B0B93" w:rsidR="007B0B93" w:rsidRDefault="007B0B93" w:rsidRPr="0053657D">
      <w:pPr>
        <w:pStyle w:val="Paragraphedeliste"/>
        <w:widowControl w:val="0"/>
        <w:numPr>
          <w:ilvl w:val="0"/>
          <w:numId w:val="2"/>
        </w:numPr>
        <w:tabs>
          <w:tab w:pos="9204" w:val="left"/>
        </w:tabs>
        <w:overflowPunct w:val="0"/>
        <w:autoSpaceDE w:val="0"/>
        <w:autoSpaceDN w:val="0"/>
        <w:adjustRightInd w:val="0"/>
        <w:spacing w:after="0" w:line="240" w:lineRule="auto"/>
        <w:jc w:val="both"/>
        <w:rPr>
          <w:rFonts w:cstheme="minorHAnsi"/>
          <w:bCs/>
          <w:color w:themeColor="text1" w:val="000000"/>
        </w:rPr>
      </w:pPr>
      <w:r w:rsidRPr="0053657D">
        <w:rPr>
          <w:rFonts w:cstheme="minorHAnsi"/>
          <w:bCs/>
          <w:color w:themeColor="text1" w:val="000000"/>
        </w:rPr>
        <w:t>Deux exemplaires signés et destinés à la DREETS du lieu de la conclusion de l’accord dont une version sur support papier signée des parties et une version sur support électronique ;</w:t>
      </w:r>
    </w:p>
    <w:p w14:paraId="3C21F529" w14:textId="77777777" w:rsidP="007B0B93" w:rsidR="007B0B93" w:rsidRDefault="007B0B93" w:rsidRPr="0053657D">
      <w:pPr>
        <w:tabs>
          <w:tab w:pos="9204" w:val="left"/>
        </w:tabs>
        <w:jc w:val="both"/>
        <w:rPr>
          <w:rFonts w:cstheme="minorHAnsi"/>
          <w:bCs/>
          <w:color w:themeColor="text1" w:val="000000"/>
        </w:rPr>
      </w:pPr>
    </w:p>
    <w:p w14:paraId="7DC6F311" w14:textId="77777777" w:rsidP="007B0B93" w:rsidR="007B0B93" w:rsidRDefault="007B0B93" w:rsidRPr="0053657D">
      <w:pPr>
        <w:pStyle w:val="Paragraphedeliste"/>
        <w:widowControl w:val="0"/>
        <w:numPr>
          <w:ilvl w:val="0"/>
          <w:numId w:val="2"/>
        </w:numPr>
        <w:tabs>
          <w:tab w:pos="9204" w:val="left"/>
        </w:tabs>
        <w:overflowPunct w:val="0"/>
        <w:autoSpaceDE w:val="0"/>
        <w:autoSpaceDN w:val="0"/>
        <w:adjustRightInd w:val="0"/>
        <w:spacing w:after="0" w:line="240" w:lineRule="auto"/>
        <w:jc w:val="both"/>
        <w:rPr>
          <w:rFonts w:cstheme="minorHAnsi"/>
          <w:bCs/>
          <w:color w:themeColor="text1" w:val="000000"/>
        </w:rPr>
      </w:pPr>
      <w:r w:rsidRPr="0053657D">
        <w:rPr>
          <w:rFonts w:cstheme="minorHAnsi"/>
          <w:bCs/>
          <w:color w:themeColor="text1" w:val="000000"/>
        </w:rPr>
        <w:t>Un exemplaire signé et destiné au Secrétariat Greffe du Conseil des Prud’hommes du lieu de la conclusion de l’accord.</w:t>
      </w:r>
    </w:p>
    <w:p w14:paraId="5467D6D3" w14:textId="77777777" w:rsidP="007B0B93" w:rsidR="007B0B93" w:rsidRDefault="007B0B93" w:rsidRPr="0053657D">
      <w:pPr>
        <w:tabs>
          <w:tab w:pos="9204" w:val="left"/>
        </w:tabs>
        <w:jc w:val="both"/>
        <w:rPr>
          <w:rFonts w:cstheme="minorHAnsi"/>
          <w:bCs/>
          <w:color w:themeColor="text1" w:val="000000"/>
        </w:rPr>
      </w:pPr>
    </w:p>
    <w:p w14:paraId="2EA93C0A" w14:textId="7529EA9B" w:rsidP="007B0B93" w:rsidR="007B0B93" w:rsidRDefault="007B0B93" w:rsidRPr="00946FA6">
      <w:pPr>
        <w:tabs>
          <w:tab w:pos="9204" w:val="left"/>
        </w:tabs>
        <w:jc w:val="both"/>
        <w:rPr>
          <w:rFonts w:cstheme="minorHAnsi"/>
          <w:bCs/>
          <w:color w:themeColor="text1" w:val="000000"/>
        </w:rPr>
      </w:pPr>
      <w:r w:rsidRPr="0053657D">
        <w:rPr>
          <w:rFonts w:cstheme="minorHAnsi"/>
          <w:bCs/>
          <w:color w:themeColor="text1" w:val="000000"/>
        </w:rPr>
        <w:t>Ces deux dépôts seront effectués par la Direction</w:t>
      </w:r>
      <w:r>
        <w:rPr>
          <w:rFonts w:cstheme="minorHAnsi"/>
          <w:bCs/>
          <w:color w:themeColor="text1" w:val="000000"/>
        </w:rPr>
        <w:t xml:space="preserve"> de TBR</w:t>
      </w:r>
      <w:r w:rsidRPr="0053657D">
        <w:rPr>
          <w:rFonts w:cstheme="minorHAnsi"/>
          <w:bCs/>
          <w:color w:themeColor="text1" w:val="000000"/>
        </w:rPr>
        <w:t>.</w:t>
      </w:r>
    </w:p>
    <w:p w14:paraId="2D7107E0" w14:textId="77777777" w:rsidP="007B0B93" w:rsidR="007B0B93" w:rsidRDefault="007B0B93" w:rsidRPr="00946FA6">
      <w:pPr>
        <w:tabs>
          <w:tab w:pos="9204" w:val="left"/>
        </w:tabs>
        <w:jc w:val="both"/>
        <w:rPr>
          <w:rFonts w:cstheme="minorHAnsi"/>
          <w:bCs/>
          <w:color w:themeColor="text1" w:val="000000"/>
        </w:rPr>
      </w:pPr>
    </w:p>
    <w:p w14:paraId="6447F7B6" w14:textId="4C875AB0" w:rsidP="007B0B93" w:rsidR="007B0B93" w:rsidRDefault="007B0B93" w:rsidRPr="00946FA6">
      <w:pPr>
        <w:tabs>
          <w:tab w:pos="9204" w:val="left"/>
        </w:tabs>
        <w:jc w:val="both"/>
        <w:rPr>
          <w:rFonts w:cstheme="minorHAnsi"/>
          <w:bCs/>
          <w:color w:themeColor="text1" w:val="000000"/>
        </w:rPr>
      </w:pPr>
      <w:r w:rsidRPr="00946FA6">
        <w:rPr>
          <w:rFonts w:cstheme="minorHAnsi"/>
          <w:bCs/>
          <w:color w:themeColor="text1" w:val="000000"/>
        </w:rPr>
        <w:t xml:space="preserve">Fait à </w:t>
      </w:r>
      <w:r>
        <w:rPr>
          <w:rFonts w:cstheme="minorHAnsi"/>
          <w:bCs/>
          <w:color w:themeColor="text1" w:val="000000"/>
        </w:rPr>
        <w:t>Le Cellier</w:t>
      </w:r>
      <w:r w:rsidRPr="00946FA6">
        <w:rPr>
          <w:rFonts w:cstheme="minorHAnsi"/>
          <w:bCs/>
          <w:color w:themeColor="text1" w:val="000000"/>
        </w:rPr>
        <w:t xml:space="preserve">, le </w:t>
      </w:r>
      <w:r>
        <w:rPr>
          <w:rFonts w:cstheme="minorHAnsi"/>
          <w:bCs/>
          <w:color w:themeColor="text1" w:val="000000"/>
        </w:rPr>
        <w:t>12 juillet</w:t>
      </w:r>
      <w:r w:rsidRPr="00946FA6">
        <w:rPr>
          <w:rFonts w:cstheme="minorHAnsi"/>
          <w:bCs/>
          <w:color w:themeColor="text1" w:val="000000"/>
        </w:rPr>
        <w:t xml:space="preserve"> 2023, en </w:t>
      </w:r>
      <w:r w:rsidR="003077AB">
        <w:rPr>
          <w:rFonts w:cstheme="minorHAnsi"/>
          <w:bCs/>
          <w:color w:themeColor="text1" w:val="000000"/>
        </w:rPr>
        <w:t>4</w:t>
      </w:r>
      <w:r w:rsidRPr="00946FA6">
        <w:rPr>
          <w:rFonts w:cstheme="minorHAnsi"/>
          <w:bCs/>
          <w:color w:themeColor="text1" w:val="000000"/>
        </w:rPr>
        <w:t xml:space="preserve"> exemplaires originaux.</w:t>
      </w:r>
    </w:p>
    <w:p w14:paraId="37F6EB11" w14:textId="77777777" w:rsidP="007B0B93" w:rsidR="007B0B93" w:rsidRDefault="007B0B93" w:rsidRPr="00946FA6">
      <w:pPr>
        <w:tabs>
          <w:tab w:pos="9204" w:val="left"/>
        </w:tabs>
        <w:jc w:val="both"/>
        <w:rPr>
          <w:rFonts w:cstheme="minorHAnsi"/>
          <w:bCs/>
          <w:color w:themeColor="text1" w:val="000000"/>
        </w:rPr>
      </w:pPr>
    </w:p>
    <w:p w14:paraId="16A4BEE0" w14:textId="77777777" w:rsidP="007B0B93" w:rsidR="007B0B93" w:rsidRDefault="007B0B93" w:rsidRPr="00946FA6">
      <w:pPr>
        <w:tabs>
          <w:tab w:pos="9204" w:val="left"/>
        </w:tabs>
        <w:jc w:val="both"/>
        <w:rPr>
          <w:rFonts w:cstheme="minorHAnsi"/>
          <w:bCs/>
          <w:color w:themeColor="text1" w:val="000000"/>
        </w:rPr>
      </w:pPr>
      <w:r w:rsidRPr="00946FA6">
        <w:rPr>
          <w:rFonts w:cstheme="minorHAnsi"/>
          <w:b/>
          <w:bCs/>
          <w:color w:themeColor="text1" w:val="000000"/>
          <w:u w:val="single"/>
        </w:rPr>
        <w:t>Signatures</w:t>
      </w:r>
      <w:r w:rsidRPr="00946FA6">
        <w:rPr>
          <w:rFonts w:cstheme="minorHAnsi"/>
          <w:bCs/>
          <w:color w:themeColor="text1" w:val="000000"/>
        </w:rPr>
        <w:t> </w:t>
      </w:r>
    </w:p>
    <w:p w14:paraId="493B46BB" w14:textId="655B7C23" w:rsidP="007B0B93" w:rsidR="007B0B93" w:rsidRDefault="007B0B93" w:rsidRPr="00946FA6">
      <w:pPr>
        <w:tabs>
          <w:tab w:pos="9204" w:val="left"/>
        </w:tabs>
        <w:jc w:val="both"/>
        <w:rPr>
          <w:rFonts w:cstheme="minorHAnsi"/>
          <w:bCs/>
          <w:color w:themeColor="text1" w:val="000000"/>
        </w:rPr>
      </w:pPr>
    </w:p>
    <w:tbl>
      <w:tblPr>
        <w:tblW w:type="auto" w:w="0"/>
        <w:tblLook w:firstColumn="1" w:firstRow="1" w:lastColumn="0" w:lastRow="0" w:noHBand="0" w:noVBand="1" w:val="04A0"/>
      </w:tblPr>
      <w:tblGrid>
        <w:gridCol w:w="5031"/>
        <w:gridCol w:w="5031"/>
      </w:tblGrid>
      <w:tr w14:paraId="0F224996" w14:textId="77777777" w:rsidR="007B0B93" w:rsidRPr="007B0B93" w:rsidTr="00B223A5">
        <w:tc>
          <w:tcPr>
            <w:tcW w:type="dxa" w:w="5031"/>
            <w:shd w:color="auto" w:fill="auto" w:val="clear"/>
          </w:tcPr>
          <w:p w14:paraId="3E3282E3" w14:textId="492BFBB1" w:rsidP="007B0B93" w:rsidR="007B0B93" w:rsidRDefault="007B0B93" w:rsidRPr="007B0B93">
            <w:pPr>
              <w:spacing w:after="0" w:line="240" w:lineRule="auto"/>
              <w:rPr>
                <w:rFonts w:ascii="Arial" w:cs="Arial" w:eastAsia="Times New Roman" w:hAnsi="Arial"/>
                <w:sz w:val="20"/>
                <w:szCs w:val="20"/>
                <w:lang w:eastAsia="fr-FR"/>
              </w:rPr>
            </w:pPr>
          </w:p>
        </w:tc>
        <w:tc>
          <w:tcPr>
            <w:tcW w:type="dxa" w:w="5031"/>
            <w:shd w:color="auto" w:fill="auto" w:val="clear"/>
          </w:tcPr>
          <w:p w14:paraId="32D421D2" w14:textId="37639330" w:rsidP="007B0B93" w:rsidR="007B0B93" w:rsidRDefault="007B0B93" w:rsidRPr="007B0B93">
            <w:pPr>
              <w:spacing w:after="0" w:line="240" w:lineRule="auto"/>
              <w:rPr>
                <w:rFonts w:ascii="Arial" w:cs="Arial" w:eastAsia="Times New Roman" w:hAnsi="Arial"/>
                <w:b/>
                <w:bCs/>
                <w:sz w:val="20"/>
                <w:szCs w:val="20"/>
                <w:lang w:eastAsia="fr-FR"/>
              </w:rPr>
            </w:pPr>
          </w:p>
        </w:tc>
      </w:tr>
      <w:tr w14:paraId="6B4EEE55" w14:textId="77777777" w:rsidR="007B0B93" w:rsidRPr="007B0B93" w:rsidTr="00B223A5">
        <w:tc>
          <w:tcPr>
            <w:tcW w:type="dxa" w:w="5031"/>
            <w:shd w:color="auto" w:fill="auto" w:val="clear"/>
          </w:tcPr>
          <w:p w14:paraId="5A746EE0" w14:textId="39283681" w:rsidP="007B0B93" w:rsidR="007B0B93" w:rsidRDefault="00AF6722" w:rsidRPr="007B0B93">
            <w:pPr>
              <w:spacing w:after="0" w:line="240" w:lineRule="auto"/>
              <w:rPr>
                <w:rFonts w:ascii="Arial" w:cs="Arial" w:eastAsia="Times New Roman" w:hAnsi="Arial"/>
                <w:sz w:val="20"/>
                <w:szCs w:val="20"/>
                <w:lang w:eastAsia="fr-FR"/>
              </w:rPr>
            </w:pPr>
            <w:r>
              <w:rPr>
                <w:rFonts w:ascii="Arial" w:cs="Arial" w:eastAsia="Times New Roman" w:hAnsi="Arial"/>
                <w:sz w:val="20"/>
                <w:szCs w:val="20"/>
                <w:lang w:eastAsia="fr-FR"/>
              </w:rPr>
              <w:t>Secrétaire du CSE</w:t>
            </w:r>
          </w:p>
        </w:tc>
        <w:tc>
          <w:tcPr>
            <w:tcW w:type="dxa" w:w="5031"/>
            <w:shd w:color="auto" w:fill="auto" w:val="clear"/>
          </w:tcPr>
          <w:p w14:paraId="3FCE603E" w14:textId="6A3BF60A" w:rsidP="007B0B93" w:rsidR="007B0B93" w:rsidRDefault="007B0B93" w:rsidRPr="007B0B93">
            <w:pPr>
              <w:spacing w:after="0" w:line="240" w:lineRule="auto"/>
              <w:rPr>
                <w:rFonts w:ascii="Arial" w:cs="Arial" w:eastAsia="Times New Roman" w:hAnsi="Arial"/>
                <w:i/>
                <w:sz w:val="20"/>
                <w:szCs w:val="20"/>
                <w:lang w:eastAsia="fr-FR"/>
              </w:rPr>
            </w:pPr>
            <w:r>
              <w:rPr>
                <w:rFonts w:ascii="Arial" w:cs="Arial" w:eastAsia="Times New Roman" w:hAnsi="Arial"/>
                <w:i/>
                <w:sz w:val="20"/>
                <w:szCs w:val="20"/>
                <w:lang w:eastAsia="fr-FR"/>
              </w:rPr>
              <w:t>Président Directeur Général</w:t>
            </w:r>
          </w:p>
        </w:tc>
      </w:tr>
    </w:tbl>
    <w:p w14:paraId="55C4675F" w14:textId="57DFA2A8" w:rsidP="00AF6722" w:rsidR="007B0B93" w:rsidRDefault="00AF6722" w:rsidRPr="00667339">
      <w:pPr>
        <w:tabs>
          <w:tab w:pos="6285" w:val="left"/>
        </w:tabs>
        <w:jc w:val="both"/>
        <w:rPr>
          <w:rFonts w:ascii="Trebuchet MS" w:cs="Trebuchet MS" w:hAnsi="Trebuchet MS"/>
        </w:rPr>
      </w:pPr>
      <w:r>
        <w:rPr>
          <w:rFonts w:ascii="Trebuchet MS" w:cs="Trebuchet MS" w:hAnsi="Trebuchet MS"/>
        </w:rPr>
        <w:tab/>
      </w:r>
    </w:p>
    <w:p w14:paraId="1A853009" w14:textId="76C3A035" w:rsidP="007B0B93" w:rsidR="00426034" w:rsidRDefault="00426034">
      <w:pPr>
        <w:spacing w:after="0"/>
        <w:ind w:firstLine="567"/>
        <w:jc w:val="both"/>
      </w:pPr>
    </w:p>
    <w:sectPr w:rsidR="00426034" w:rsidSect="001A6660">
      <w:headerReference r:id="rId11" w:type="first"/>
      <w:footerReference r:id="rId12" w:type="first"/>
      <w:pgSz w:h="16838" w:w="11906"/>
      <w:pgMar w:bottom="720" w:footer="283" w:gutter="0" w:header="708" w:left="720" w:right="720" w:top="72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F157D" w14:textId="77777777" w:rsidR="001A6660" w:rsidRDefault="001A6660" w:rsidP="002B513A">
      <w:pPr>
        <w:spacing w:after="0" w:line="240" w:lineRule="auto"/>
      </w:pPr>
      <w:r>
        <w:separator/>
      </w:r>
    </w:p>
  </w:endnote>
  <w:endnote w:type="continuationSeparator" w:id="0">
    <w:p w14:paraId="026D4C5C" w14:textId="77777777" w:rsidR="001A6660" w:rsidRDefault="001A6660" w:rsidP="002B5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F0A4702" w14:textId="77777777" w:rsidP="002B513A" w:rsidR="002B513A" w:rsidRDefault="002B513A">
    <w:pPr>
      <w:pBdr>
        <w:top w:color="auto" w:space="0" w:sz="2" w:val="single"/>
      </w:pBdr>
      <w:spacing w:after="0"/>
      <w:ind w:firstLine="357"/>
      <w:jc w:val="center"/>
      <w:rPr>
        <w:rFonts w:ascii="Calibri" w:cs="Calibri" w:hAnsi="Calibri"/>
        <w:b/>
        <w:color w:val="006600"/>
        <w:sz w:val="18"/>
        <w:szCs w:val="18"/>
      </w:rPr>
    </w:pPr>
  </w:p>
  <w:p w14:paraId="6852EAE5" w14:textId="406B999B" w:rsidP="002B513A" w:rsidR="002B513A" w:rsidRDefault="002B513A">
    <w:pPr>
      <w:pBdr>
        <w:top w:color="auto" w:space="0" w:sz="2" w:val="single"/>
      </w:pBdr>
      <w:spacing w:after="0"/>
      <w:ind w:firstLine="357"/>
      <w:jc w:val="center"/>
      <w:rPr>
        <w:rFonts w:ascii="Calibri" w:cs="Calibri" w:hAnsi="Calibri"/>
        <w:color w:val="006600"/>
        <w:sz w:val="18"/>
        <w:szCs w:val="18"/>
      </w:rPr>
    </w:pPr>
    <w:r w:rsidRPr="00DB59D6">
      <w:rPr>
        <w:rFonts w:ascii="Calibri" w:cs="Calibri" w:hAnsi="Calibri"/>
        <w:b/>
        <w:color w:val="006600"/>
        <w:sz w:val="18"/>
        <w:szCs w:val="18"/>
      </w:rPr>
      <w:t>TBR TRANSPORTS</w:t>
    </w:r>
    <w:r w:rsidRPr="00DB59D6">
      <w:rPr>
        <w:rFonts w:ascii="Calibri" w:cs="Calibri" w:hAnsi="Calibri"/>
        <w:color w:val="006600"/>
        <w:sz w:val="18"/>
        <w:szCs w:val="18"/>
      </w:rPr>
      <w:t xml:space="preserve"> : </w:t>
    </w:r>
    <w:r w:rsidR="00474C29">
      <w:rPr>
        <w:rFonts w:ascii="Calibri" w:cs="Calibri" w:hAnsi="Calibri"/>
        <w:color w:val="006600"/>
        <w:sz w:val="18"/>
        <w:szCs w:val="18"/>
      </w:rPr>
      <w:t xml:space="preserve">100 route des </w:t>
    </w:r>
    <w:proofErr w:type="spellStart"/>
    <w:r w:rsidR="00474C29">
      <w:rPr>
        <w:rFonts w:ascii="Calibri" w:cs="Calibri" w:hAnsi="Calibri"/>
        <w:color w:val="006600"/>
        <w:sz w:val="18"/>
        <w:szCs w:val="18"/>
      </w:rPr>
      <w:t>Relandières</w:t>
    </w:r>
    <w:proofErr w:type="spellEnd"/>
    <w:r w:rsidR="00474C29">
      <w:rPr>
        <w:rFonts w:ascii="Calibri" w:cs="Calibri" w:hAnsi="Calibri"/>
        <w:color w:val="006600"/>
        <w:sz w:val="18"/>
        <w:szCs w:val="18"/>
      </w:rPr>
      <w:t xml:space="preserve"> – 44850 LE CELLIER</w:t>
    </w:r>
    <w:r w:rsidRPr="00DB59D6">
      <w:rPr>
        <w:rFonts w:ascii="Calibri" w:cs="Calibri" w:hAnsi="Calibri"/>
        <w:color w:val="006600"/>
        <w:sz w:val="18"/>
        <w:szCs w:val="18"/>
      </w:rPr>
      <w:t xml:space="preserve"> – Tél : +33 (0</w:t>
    </w:r>
    <w:r w:rsidR="003E59FB">
      <w:rPr>
        <w:rFonts w:ascii="Calibri" w:cs="Calibri" w:hAnsi="Calibri"/>
        <w:color w:val="006600"/>
        <w:sz w:val="18"/>
        <w:szCs w:val="18"/>
      </w:rPr>
      <w:t>)2 40 52 50 79</w:t>
    </w:r>
    <w:r w:rsidRPr="00DB59D6">
      <w:rPr>
        <w:rFonts w:ascii="Calibri" w:cs="Calibri" w:hAnsi="Calibri"/>
        <w:color w:val="006600"/>
        <w:sz w:val="18"/>
        <w:szCs w:val="18"/>
      </w:rPr>
      <w:t xml:space="preserve"> </w:t>
    </w:r>
  </w:p>
  <w:p w14:paraId="500A44DB" w14:textId="4651F4D5" w:rsidP="002B513A" w:rsidR="002B513A" w:rsidRDefault="002B513A" w:rsidRPr="002B513A">
    <w:pPr>
      <w:pBdr>
        <w:top w:color="auto" w:space="0" w:sz="2" w:val="single"/>
      </w:pBdr>
      <w:spacing w:after="0"/>
      <w:ind w:firstLine="357"/>
      <w:jc w:val="center"/>
      <w:rPr>
        <w:rFonts w:ascii="Calibri" w:cs="Calibri" w:hAnsi="Calibri"/>
        <w:color w:val="006600"/>
        <w:sz w:val="18"/>
        <w:szCs w:val="18"/>
      </w:rPr>
    </w:pPr>
    <w:r>
      <w:rPr>
        <w:rFonts w:ascii="Calibri" w:cs="Calibri" w:hAnsi="Calibri"/>
        <w:color w:val="006600"/>
        <w:sz w:val="18"/>
        <w:szCs w:val="18"/>
      </w:rPr>
      <w:t xml:space="preserve">Capital </w:t>
    </w:r>
    <w:r w:rsidRPr="00DB59D6">
      <w:rPr>
        <w:rFonts w:ascii="Calibri" w:cs="Calibri" w:hAnsi="Calibri"/>
        <w:color w:val="006600"/>
        <w:sz w:val="18"/>
        <w:szCs w:val="18"/>
      </w:rPr>
      <w:t>de 60 000 €</w:t>
    </w:r>
    <w:r>
      <w:rPr>
        <w:rFonts w:ascii="Calibri" w:cs="Calibri" w:hAnsi="Calibri"/>
        <w:color w:val="006600"/>
        <w:sz w:val="18"/>
        <w:szCs w:val="18"/>
      </w:rPr>
      <w:t xml:space="preserve"> -  Code APE : 4941 B – N° </w:t>
    </w:r>
    <w:r w:rsidRPr="00DB59D6">
      <w:rPr>
        <w:rFonts w:ascii="Calibri" w:cs="Calibri" w:hAnsi="Calibri"/>
        <w:color w:val="006600"/>
        <w:sz w:val="18"/>
        <w:szCs w:val="18"/>
      </w:rPr>
      <w:t>SIRET</w:t>
    </w:r>
    <w:r>
      <w:rPr>
        <w:rFonts w:ascii="Calibri" w:cs="Calibri" w:hAnsi="Calibri"/>
        <w:color w:val="006600"/>
        <w:sz w:val="18"/>
        <w:szCs w:val="18"/>
      </w:rPr>
      <w:t> :</w:t>
    </w:r>
    <w:r w:rsidRPr="00DB59D6">
      <w:rPr>
        <w:rFonts w:ascii="Calibri" w:cs="Calibri" w:hAnsi="Calibri"/>
        <w:color w:val="006600"/>
        <w:sz w:val="18"/>
        <w:szCs w:val="18"/>
      </w:rPr>
      <w:t xml:space="preserve"> </w:t>
    </w:r>
    <w:r w:rsidRPr="00DB59D6">
      <w:rPr>
        <w:rFonts w:ascii="Calibri" w:cs="Calibri" w:hAnsi="Calibri"/>
        <w:color w:val="006600"/>
        <w:sz w:val="18"/>
        <w:szCs w:val="18"/>
        <w:lang w:val="en-US"/>
      </w:rPr>
      <w:t xml:space="preserve">810 891 796 000 </w:t>
    </w:r>
    <w:r w:rsidR="00DD3DA9">
      <w:rPr>
        <w:rFonts w:ascii="Calibri" w:cs="Calibri" w:hAnsi="Calibri"/>
        <w:color w:val="006600"/>
        <w:sz w:val="18"/>
        <w:szCs w:val="18"/>
        <w:lang w:val="en-US"/>
      </w:rPr>
      <w:t>49</w:t>
    </w:r>
    <w:r>
      <w:rPr>
        <w:rFonts w:ascii="Calibri" w:cs="Calibri" w:hAnsi="Calibri"/>
        <w:color w:val="006600"/>
        <w:sz w:val="18"/>
        <w:szCs w:val="18"/>
        <w:lang w:val="en-US"/>
      </w:rPr>
      <w:t xml:space="preserve"> -</w:t>
    </w:r>
    <w:r w:rsidRPr="00DB59D6">
      <w:rPr>
        <w:rFonts w:ascii="Calibri" w:cs="Calibri" w:hAnsi="Calibri"/>
        <w:color w:val="006600"/>
        <w:sz w:val="18"/>
        <w:szCs w:val="18"/>
      </w:rPr>
      <w:t xml:space="preserve"> N° TVA </w:t>
    </w:r>
    <w:r>
      <w:rPr>
        <w:rFonts w:ascii="Calibri" w:cs="Calibri" w:hAnsi="Calibri"/>
        <w:color w:val="006600"/>
        <w:sz w:val="18"/>
        <w:szCs w:val="18"/>
      </w:rPr>
      <w:t xml:space="preserve">Intracommunautaire </w:t>
    </w:r>
    <w:r w:rsidRPr="00DB59D6">
      <w:rPr>
        <w:rFonts w:ascii="Calibri" w:cs="Calibri" w:hAnsi="Calibri"/>
        <w:color w:val="006600"/>
        <w:sz w:val="18"/>
        <w:szCs w:val="18"/>
      </w:rPr>
      <w:t>: FR81 810 891</w:t>
    </w:r>
    <w:r>
      <w:rPr>
        <w:rFonts w:ascii="Calibri" w:cs="Calibri" w:hAnsi="Calibri"/>
        <w:color w:val="006600"/>
        <w:sz w:val="18"/>
        <w:szCs w:val="18"/>
      </w:rPr>
      <w:t> </w:t>
    </w:r>
    <w:r w:rsidRPr="00DB59D6">
      <w:rPr>
        <w:rFonts w:ascii="Calibri" w:cs="Calibri" w:hAnsi="Calibri"/>
        <w:color w:val="006600"/>
        <w:sz w:val="18"/>
        <w:szCs w:val="18"/>
      </w:rPr>
      <w:t>796</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44AC63D7" w14:textId="77777777" w:rsidP="002B513A" w:rsidR="001A6660" w:rsidRDefault="001A6660">
      <w:pPr>
        <w:spacing w:after="0" w:line="240" w:lineRule="auto"/>
      </w:pPr>
      <w:r>
        <w:separator/>
      </w:r>
    </w:p>
  </w:footnote>
  <w:footnote w:id="0" w:type="continuationSeparator">
    <w:p w14:paraId="385EBF66" w14:textId="77777777" w:rsidP="002B513A" w:rsidR="001A6660" w:rsidRDefault="001A6660">
      <w:pPr>
        <w:spacing w:after="0" w:line="240" w:lineRule="auto"/>
      </w:pPr>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AC6E8AF" w14:textId="7778588D" w:rsidP="005034AB" w:rsidR="002B513A" w:rsidRDefault="005034AB">
    <w:pPr>
      <w:pStyle w:val="En-tte"/>
      <w:jc w:val="center"/>
    </w:pPr>
    <w:r>
      <w:rPr>
        <w:noProof/>
      </w:rPr>
      <w:drawing>
        <wp:inline distB="0" distL="0" distR="0" distT="0" wp14:anchorId="5EEA1EBE" wp14:editId="26F8C336">
          <wp:extent cx="1471720" cy="1270635"/>
          <wp:effectExtent b="5715" l="0" r="0" t="0"/>
          <wp:docPr descr="Une image contenant texte, logo, Police, conception  Description générée automatiquement" id="25514264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Une image contenant texte, logo, Police, conception  Description générée automatiquement" id="255142642" name="Image 1"/>
                  <pic:cNvPicPr/>
                </pic:nvPicPr>
                <pic:blipFill>
                  <a:blip r:embed="rId1">
                    <a:extLst>
                      <a:ext uri="{28A0092B-C50C-407E-A947-70E740481C1C}">
                        <a14:useLocalDpi xmlns:a14="http://schemas.microsoft.com/office/drawing/2010/main" val="0"/>
                      </a:ext>
                    </a:extLst>
                  </a:blip>
                  <a:stretch>
                    <a:fillRect/>
                  </a:stretch>
                </pic:blipFill>
                <pic:spPr>
                  <a:xfrm>
                    <a:off x="0" y="0"/>
                    <a:ext cx="1493119" cy="1289110"/>
                  </a:xfrm>
                  <a:prstGeom prst="rect">
                    <a:avLst/>
                  </a:prstGeom>
                </pic:spPr>
              </pic:pic>
            </a:graphicData>
          </a:graphic>
        </wp:inline>
      </w:drawing>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00C582D"/>
    <w:multiLevelType w:val="hybridMultilevel"/>
    <w:tmpl w:val="B8088204"/>
    <w:lvl w:ilvl="0" w:tplc="42A40C5E">
      <w:numFmt w:val="bullet"/>
      <w:lvlText w:val="-"/>
      <w:lvlJc w:val="left"/>
      <w:pPr>
        <w:ind w:hanging="360" w:left="720"/>
      </w:pPr>
      <w:rPr>
        <w:rFonts w:ascii="Trebuchet MS" w:cs="Trebuchet MS" w:eastAsiaTheme="minorEastAsia" w:hAnsi="Trebuchet MS" w:hint="default"/>
      </w:rPr>
    </w:lvl>
    <w:lvl w:ilvl="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1">
    <w:nsid w:val="175C5DCC"/>
    <w:multiLevelType w:val="hybridMultilevel"/>
    <w:tmpl w:val="397EFDE6"/>
    <w:lvl w:ilvl="0" w:tplc="9C18C1E6">
      <w:numFmt w:val="bullet"/>
      <w:lvlText w:val="-"/>
      <w:lvlJc w:val="left"/>
      <w:pPr>
        <w:ind w:hanging="360" w:left="720"/>
      </w:pPr>
      <w:rPr>
        <w:rFonts w:ascii="Calibri" w:cs="Calibri" w:eastAsiaTheme="minorHAnsi" w:hAnsi="Calibri"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num w16cid:durableId="1025598689" w:numId="1">
    <w:abstractNumId w:val="1"/>
  </w:num>
  <w:num w16cid:durableId="2045279703" w:numId="2">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proofState w:spelling="clean"/>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13A"/>
    <w:rsid w:val="0008195E"/>
    <w:rsid w:val="00085115"/>
    <w:rsid w:val="000908B8"/>
    <w:rsid w:val="000A3BF6"/>
    <w:rsid w:val="000A4F7B"/>
    <w:rsid w:val="00174082"/>
    <w:rsid w:val="001746BF"/>
    <w:rsid w:val="00181CB5"/>
    <w:rsid w:val="001A6660"/>
    <w:rsid w:val="002143BC"/>
    <w:rsid w:val="00292A1E"/>
    <w:rsid w:val="002B01D3"/>
    <w:rsid w:val="002B513A"/>
    <w:rsid w:val="003077AB"/>
    <w:rsid w:val="003E59FB"/>
    <w:rsid w:val="00426034"/>
    <w:rsid w:val="00474C29"/>
    <w:rsid w:val="005034AB"/>
    <w:rsid w:val="00567029"/>
    <w:rsid w:val="00575C0E"/>
    <w:rsid w:val="00581109"/>
    <w:rsid w:val="0066295B"/>
    <w:rsid w:val="00727320"/>
    <w:rsid w:val="007A3D4F"/>
    <w:rsid w:val="007B0B93"/>
    <w:rsid w:val="008300F7"/>
    <w:rsid w:val="0084361A"/>
    <w:rsid w:val="00856E53"/>
    <w:rsid w:val="008E4C11"/>
    <w:rsid w:val="00AD1AE4"/>
    <w:rsid w:val="00AF6722"/>
    <w:rsid w:val="00BB6F89"/>
    <w:rsid w:val="00C639B0"/>
    <w:rsid w:val="00C76121"/>
    <w:rsid w:val="00C84F9D"/>
    <w:rsid w:val="00D20B23"/>
    <w:rsid w:val="00DD3DA9"/>
    <w:rsid w:val="00E41AB2"/>
    <w:rsid w:val="00E4735A"/>
    <w:rsid w:val="00ED6A76"/>
    <w:rsid w:val="00F04BDE"/>
    <w:rsid w:val="00F3782C"/>
    <w:rsid w:val="00F4355A"/>
    <w:rsid w:val="00F57345"/>
    <w:rsid w:val="00FD6018"/>
  </w:rsids>
  <m:mathPr>
    <m:mathFont m:val="Cambria Math"/>
    <m:brkBin m:val="before"/>
    <m:brkBinSub m:val="--"/>
    <m:smallFrac m:val="0"/>
    <m:dispDef/>
    <m:lMargin m:val="0"/>
    <m:rMargin m:val="0"/>
    <m:defJc m:val="centerGroup"/>
    <m:wrapIndent m:val="1440"/>
    <m:intLim m:val="subSup"/>
    <m:naryLim m:val="undOvr"/>
  </m:mathPr>
  <w:themeFontLang w:val="fr-FR"/>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14:docId w14:val="7D17AAB7"/>
  <w15:chartTrackingRefBased/>
  <w15:docId w15:val="{3F73A4E9-16C0-47CD-9BD4-45CC0C7F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2"/>
        <w:szCs w:val="22"/>
        <w:lang w:bidi="ar-SA" w:eastAsia="en-US" w:val="fr-FR"/>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style>
  <w:style w:default="1" w:styleId="Policepardfaut" w:type="character">
    <w:name w:val="Default Paragraph Font"/>
    <w:uiPriority w:val="1"/>
    <w:semiHidden/>
    <w:unhideWhenUsed/>
  </w:style>
  <w:style w:default="1" w:styleId="TableauNormal" w:type="table">
    <w:name w:val="Normal Table"/>
    <w:uiPriority w:val="99"/>
    <w:semiHidden/>
    <w:unhideWhenUsed/>
    <w:tblPr>
      <w:tblInd w:type="dxa" w:w="0"/>
      <w:tblCellMar>
        <w:top w:type="dxa" w:w="0"/>
        <w:left w:type="dxa" w:w="108"/>
        <w:bottom w:type="dxa" w:w="0"/>
        <w:right w:type="dxa" w:w="108"/>
      </w:tblCellMar>
    </w:tblPr>
  </w:style>
  <w:style w:default="1" w:styleId="Aucuneliste" w:type="numbering">
    <w:name w:val="No List"/>
    <w:uiPriority w:val="99"/>
    <w:semiHidden/>
    <w:unhideWhenUsed/>
  </w:style>
  <w:style w:styleId="En-tte" w:type="paragraph">
    <w:name w:val="header"/>
    <w:basedOn w:val="Normal"/>
    <w:link w:val="En-tteCar"/>
    <w:uiPriority w:val="99"/>
    <w:unhideWhenUsed/>
    <w:rsid w:val="002B513A"/>
    <w:pPr>
      <w:tabs>
        <w:tab w:pos="4536" w:val="center"/>
        <w:tab w:pos="9072" w:val="right"/>
      </w:tabs>
      <w:spacing w:after="0" w:line="240" w:lineRule="auto"/>
    </w:pPr>
  </w:style>
  <w:style w:customStyle="1" w:styleId="En-tteCar" w:type="character">
    <w:name w:val="En-tête Car"/>
    <w:basedOn w:val="Policepardfaut"/>
    <w:link w:val="En-tte"/>
    <w:uiPriority w:val="99"/>
    <w:rsid w:val="002B513A"/>
  </w:style>
  <w:style w:styleId="Pieddepage" w:type="paragraph">
    <w:name w:val="footer"/>
    <w:basedOn w:val="Normal"/>
    <w:link w:val="PieddepageCar"/>
    <w:uiPriority w:val="99"/>
    <w:unhideWhenUsed/>
    <w:rsid w:val="002B513A"/>
    <w:pPr>
      <w:tabs>
        <w:tab w:pos="4536" w:val="center"/>
        <w:tab w:pos="9072" w:val="right"/>
      </w:tabs>
      <w:spacing w:after="0" w:line="240" w:lineRule="auto"/>
    </w:pPr>
  </w:style>
  <w:style w:customStyle="1" w:styleId="PieddepageCar" w:type="character">
    <w:name w:val="Pied de page Car"/>
    <w:basedOn w:val="Policepardfaut"/>
    <w:link w:val="Pieddepage"/>
    <w:uiPriority w:val="99"/>
    <w:rsid w:val="002B513A"/>
  </w:style>
  <w:style w:styleId="Paragraphedeliste" w:type="paragraph">
    <w:name w:val="List Paragraph"/>
    <w:basedOn w:val="Normal"/>
    <w:uiPriority w:val="34"/>
    <w:qFormat/>
    <w:rsid w:val="002143BC"/>
    <w:pPr>
      <w:ind w:left="720"/>
      <w:contextualSpacing/>
    </w:pPr>
  </w:style>
  <w:style w:styleId="Lienhypertexte" w:type="character">
    <w:name w:val="Hyperlink"/>
    <w:basedOn w:val="Policepardfaut"/>
    <w:uiPriority w:val="99"/>
    <w:unhideWhenUsed/>
    <w:rsid w:val="00426034"/>
    <w:rPr>
      <w:color w:themeColor="hyperlink" w:val="0563C1"/>
      <w:u w:val="single"/>
    </w:rPr>
  </w:style>
  <w:style w:styleId="Mentionnonrsolue" w:type="character">
    <w:name w:val="Unresolved Mention"/>
    <w:basedOn w:val="Policepardfaut"/>
    <w:uiPriority w:val="99"/>
    <w:semiHidden/>
    <w:unhideWhenUsed/>
    <w:rsid w:val="00426034"/>
    <w:rPr>
      <w:color w:val="605E5C"/>
      <w:shd w:color="auto" w:fill="E1DFDD" w:val="clear"/>
    </w:rPr>
  </w:style>
  <w:style w:styleId="Grilledutableau" w:type="table">
    <w:name w:val="Table Grid"/>
    <w:basedOn w:val="TableauNormal"/>
    <w:uiPriority w:val="59"/>
    <w:rsid w:val="007B0B93"/>
    <w:pPr>
      <w:spacing w:after="0" w:line="240" w:lineRule="auto"/>
    </w:pPr>
    <w:rPr>
      <w:rFonts w:cs="Times New Roman" w:eastAsiaTheme="minorEastAsia"/>
      <w:lang w:eastAsia="fr-FR"/>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_rels/header1.xml.rels><?xml version="1.0" encoding="UTF-8" standalone="no"?><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7c0cf1d7-de3b-427d-959f-7d22cb07c0e4" xsi:nil="true"/>
    <lcf76f155ced4ddcb4097134ff3c332f xmlns="7c0cf1d7-de3b-427d-959f-7d22cb07c0e4">
      <Terms xmlns="http://schemas.microsoft.com/office/infopath/2007/PartnerControls"/>
    </lcf76f155ced4ddcb4097134ff3c332f>
    <TaxCatchAll xmlns="c2e047ae-511c-4fb2-9d07-d642ba1c27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0C3F6C123B0B4CAEB1EDAA0799B5B2" ma:contentTypeVersion="15" ma:contentTypeDescription="Crée un document." ma:contentTypeScope="" ma:versionID="fe0b4b18fb46827a26d797c5d030d4ef">
  <xsd:schema xmlns:xsd="http://www.w3.org/2001/XMLSchema" xmlns:xs="http://www.w3.org/2001/XMLSchema" xmlns:p="http://schemas.microsoft.com/office/2006/metadata/properties" xmlns:ns2="c2e047ae-511c-4fb2-9d07-d642ba1c2784" xmlns:ns3="7c0cf1d7-de3b-427d-959f-7d22cb07c0e4" targetNamespace="http://schemas.microsoft.com/office/2006/metadata/properties" ma:root="true" ma:fieldsID="84c86c16bffd18f3f45b4f9835bbd30a" ns2:_="" ns3:_="">
    <xsd:import namespace="c2e047ae-511c-4fb2-9d07-d642ba1c2784"/>
    <xsd:import namespace="7c0cf1d7-de3b-427d-959f-7d22cb07c0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47ae-511c-4fb2-9d07-d642ba1c2784"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90861d48-c4d7-4c08-80d9-4fd091d7ce1f}" ma:internalName="TaxCatchAll" ma:showField="CatchAllData" ma:web="c2e047ae-511c-4fb2-9d07-d642ba1c27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0cf1d7-de3b-427d-959f-7d22cb07c0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e615c124-6407-4376-97cd-5917ab8fdb0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D97C2D-08CF-4D72-B8C1-2674D0723F70}">
  <ds:schemaRefs>
    <ds:schemaRef ds:uri="http://schemas.openxmlformats.org/officeDocument/2006/bibliography"/>
  </ds:schemaRefs>
</ds:datastoreItem>
</file>

<file path=customXml/itemProps2.xml><?xml version="1.0" encoding="utf-8"?>
<ds:datastoreItem xmlns:ds="http://schemas.openxmlformats.org/officeDocument/2006/customXml" ds:itemID="{3E513D49-33FC-4A7F-AF8E-CC83C32199DB}">
  <ds:schemaRefs>
    <ds:schemaRef ds:uri="http://schemas.microsoft.com/office/2006/metadata/properties"/>
    <ds:schemaRef ds:uri="http://schemas.microsoft.com/office/infopath/2007/PartnerControls"/>
    <ds:schemaRef ds:uri="7c0cf1d7-de3b-427d-959f-7d22cb07c0e4"/>
    <ds:schemaRef ds:uri="c2e047ae-511c-4fb2-9d07-d642ba1c2784"/>
  </ds:schemaRefs>
</ds:datastoreItem>
</file>

<file path=customXml/itemProps3.xml><?xml version="1.0" encoding="utf-8"?>
<ds:datastoreItem xmlns:ds="http://schemas.openxmlformats.org/officeDocument/2006/customXml" ds:itemID="{5D679E7D-606B-4115-8792-F3CD79CC4461}">
  <ds:schemaRefs>
    <ds:schemaRef ds:uri="http://schemas.microsoft.com/sharepoint/v3/contenttype/forms"/>
  </ds:schemaRefs>
</ds:datastoreItem>
</file>

<file path=customXml/itemProps4.xml><?xml version="1.0" encoding="utf-8"?>
<ds:datastoreItem xmlns:ds="http://schemas.openxmlformats.org/officeDocument/2006/customXml" ds:itemID="{6B2A21C7-87C7-4772-8D02-29A1BFCE3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47ae-511c-4fb2-9d07-d642ba1c2784"/>
    <ds:schemaRef ds:uri="7c0cf1d7-de3b-427d-959f-7d22cb07c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1409</Words>
  <Characters>7750</Characters>
  <Application>Microsoft Office Word</Application>
  <DocSecurity>0</DocSecurity>
  <Lines>64</Lines>
  <Paragraphs>18</Paragraphs>
  <ScaleCrop>false</ScaleCrop>
  <HeadingPairs>
    <vt:vector baseType="variant" size="2">
      <vt:variant>
        <vt:lpstr>Titre</vt:lpstr>
      </vt:variant>
      <vt:variant>
        <vt:i4>1</vt:i4>
      </vt:variant>
    </vt:vector>
  </HeadingPairs>
  <TitlesOfParts>
    <vt:vector baseType="lpstr" size="1">
      <vt:lpstr/>
    </vt:vector>
  </TitlesOfParts>
  <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2024-02-20T14:42:00Z</dcterms:created>
  <cp:lastPrinted>2024-02-20T14:40:00Z</cp:lastPrinted>
  <dcterms:modified xsi:type="dcterms:W3CDTF">2024-03-28T09:20:00Z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MediaServiceImageTags" pid="2">
    <vt:lpwstr/>
  </property>
</Properties>
</file>